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274FD6">
      <w:r>
        <w:br w:type="page"/>
      </w:r>
    </w:p>
    <w:p w14:paraId="04752A4F">
      <w:pPr>
        <w:spacing w:line="640" w:lineRule="exact"/>
        <w:jc w:val="center"/>
        <w:outlineLvl w:val="1"/>
      </w:pPr>
      <w:r>
        <w:rPr>
          <w:rFonts w:ascii="黑体" w:hAnsi="黑体" w:eastAsia="黑体"/>
          <w:sz w:val="32"/>
        </w:rPr>
        <w:t>第一部分 单位概况</w:t>
      </w:r>
    </w:p>
    <w:p w14:paraId="095EFC5E">
      <w:pPr>
        <w:spacing w:line="640" w:lineRule="exact"/>
        <w:ind w:firstLine="640"/>
        <w:jc w:val="both"/>
        <w:outlineLvl w:val="2"/>
      </w:pPr>
      <w:r>
        <w:rPr>
          <w:rFonts w:ascii="黑体" w:hAnsi="黑体" w:eastAsia="黑体"/>
          <w:sz w:val="32"/>
        </w:rPr>
        <w:t>一、主要职能</w:t>
      </w:r>
    </w:p>
    <w:p w14:paraId="0B299130">
      <w:pPr>
        <w:spacing w:line="580" w:lineRule="exact"/>
        <w:ind w:firstLine="640"/>
        <w:jc w:val="both"/>
      </w:pPr>
      <w:r>
        <w:rPr>
          <w:rFonts w:ascii="仿宋_GB2312" w:hAnsi="仿宋_GB2312" w:eastAsia="仿宋_GB2312"/>
          <w:sz w:val="32"/>
        </w:rPr>
        <w:t>（1）贯彻实施国家、自治区、地区医疗保险、生育保险、医疗保障救助等医疗保障制度，拟订医疗保障相关政策、规划和标准并组织实施；拟订医疗保险、人身意外伤害保险、大额医疗补助、公务员医疗补助、企事业单位补充医疗保险、享受</w:t>
      </w:r>
      <w:r>
        <w:rPr>
          <w:rFonts w:hint="eastAsia" w:ascii="仿宋_GB2312" w:hAnsi="仿宋_GB2312" w:eastAsia="仿宋_GB2312"/>
          <w:sz w:val="32"/>
          <w:lang w:eastAsia="zh-CN"/>
        </w:rPr>
        <w:t>国务院政府特殊津贴</w:t>
      </w:r>
      <w:r>
        <w:rPr>
          <w:rFonts w:ascii="仿宋_GB2312" w:hAnsi="仿宋_GB2312" w:eastAsia="仿宋_GB2312"/>
          <w:sz w:val="32"/>
        </w:rPr>
        <w:t>专家、离休人员和优抚对象医疗保障政策、管理办法并组织实施。</w:t>
      </w:r>
    </w:p>
    <w:p w14:paraId="5BEE1F52">
      <w:pPr>
        <w:spacing w:line="580" w:lineRule="exact"/>
        <w:ind w:firstLine="640"/>
        <w:jc w:val="both"/>
      </w:pPr>
      <w:r>
        <w:rPr>
          <w:rFonts w:ascii="仿宋_GB2312" w:hAnsi="仿宋_GB2312" w:eastAsia="仿宋_GB2312"/>
          <w:sz w:val="32"/>
        </w:rPr>
        <w:t>（2）组织制定并实施医疗保障基金监督管理办法，建立健全医疗保障基金安全防控机制，承担推进医疗保障基金支付方式改革工作，编制托里县医疗保障基金预决算草案。</w:t>
      </w:r>
    </w:p>
    <w:p w14:paraId="78B0FDD3">
      <w:pPr>
        <w:spacing w:line="580" w:lineRule="exact"/>
        <w:ind w:firstLine="640"/>
        <w:jc w:val="both"/>
      </w:pPr>
      <w:r>
        <w:rPr>
          <w:rFonts w:ascii="仿宋_GB2312" w:hAnsi="仿宋_GB2312" w:eastAsia="仿宋_GB2312"/>
          <w:sz w:val="32"/>
        </w:rPr>
        <w:t>（3）组织拟订托里县医疗保障筹资和待遇政策，完善动态调整和区域调剂平衡机制，统筹城乡医疗保障待遇标准，建立健全与筹资水平相适应的待遇调整机制。拟订托里贯彻长期护理保险制度改革的方案并组织实施。</w:t>
      </w:r>
    </w:p>
    <w:p w14:paraId="23537630">
      <w:pPr>
        <w:spacing w:line="580" w:lineRule="exact"/>
        <w:ind w:firstLine="640"/>
        <w:jc w:val="both"/>
      </w:pPr>
      <w:r>
        <w:rPr>
          <w:rFonts w:ascii="仿宋_GB2312" w:hAnsi="仿宋_GB2312" w:eastAsia="仿宋_GB2312"/>
          <w:sz w:val="32"/>
        </w:rPr>
        <w:t>（4）组织拟订托里县药品、医用耗材价格和医疗服务项目、医疗服务设施收费等政策并监督实施，执行自治区制定的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p>
    <w:p w14:paraId="4E86CC53">
      <w:pPr>
        <w:spacing w:line="580" w:lineRule="exact"/>
        <w:ind w:firstLine="640"/>
        <w:jc w:val="both"/>
      </w:pPr>
      <w:r>
        <w:rPr>
          <w:rFonts w:ascii="仿宋_GB2312" w:hAnsi="仿宋_GB2312" w:eastAsia="仿宋_GB2312"/>
          <w:sz w:val="32"/>
        </w:rPr>
        <w:t>（5）组织制定托里县药品、医用耗材、医疗服务项目、医疗服务设施等医保目录和支付标准，建立动态调整机制。</w:t>
      </w:r>
    </w:p>
    <w:p w14:paraId="7CFB9BCA">
      <w:pPr>
        <w:spacing w:line="580" w:lineRule="exact"/>
        <w:ind w:firstLine="640"/>
        <w:jc w:val="both"/>
      </w:pPr>
      <w:r>
        <w:rPr>
          <w:rFonts w:ascii="仿宋_GB2312" w:hAnsi="仿宋_GB2312" w:eastAsia="仿宋_GB2312"/>
          <w:sz w:val="32"/>
        </w:rPr>
        <w:t>（6）制定定点医药机构协议和支付管理办法并组织实施，建立健全医疗保障信用评价体系和信息披露制度，监督管理纳入医保范围内的医疗服务行为和医疗费用，依法查处医疗保障、生育保险领域违法违规行为。</w:t>
      </w:r>
    </w:p>
    <w:p w14:paraId="3D995A1A">
      <w:pPr>
        <w:spacing w:line="580" w:lineRule="exact"/>
        <w:ind w:firstLine="640"/>
        <w:jc w:val="both"/>
      </w:pPr>
      <w:r>
        <w:rPr>
          <w:rFonts w:ascii="仿宋_GB2312" w:hAnsi="仿宋_GB2312" w:eastAsia="仿宋_GB2312"/>
          <w:sz w:val="32"/>
        </w:rPr>
        <w:t>（7）负责托里县医疗保障经办管理、公共服务体系和信息化建设。贯彻落实国家和自治区跨省异地就医管理和费用结算政策，组织制定托里县疆内异地就医和费用结算政策。建立健全托里县医疗保障关系转移接续制度。指导乡（镇）医疗保障经办机构开展业务工作。</w:t>
      </w:r>
    </w:p>
    <w:p w14:paraId="356F0902">
      <w:pPr>
        <w:spacing w:line="580" w:lineRule="exact"/>
        <w:ind w:firstLine="640"/>
        <w:jc w:val="both"/>
      </w:pPr>
      <w:r>
        <w:rPr>
          <w:rFonts w:ascii="仿宋_GB2312" w:hAnsi="仿宋_GB2312" w:eastAsia="仿宋_GB2312"/>
          <w:sz w:val="32"/>
        </w:rPr>
        <w:t>（8）完成县委、县政府交办的其他任务。</w:t>
      </w:r>
    </w:p>
    <w:p w14:paraId="6C1AF2A7">
      <w:pPr>
        <w:spacing w:line="580" w:lineRule="exact"/>
        <w:ind w:firstLine="640"/>
        <w:jc w:val="both"/>
      </w:pPr>
      <w:r>
        <w:rPr>
          <w:rFonts w:ascii="仿宋_GB2312" w:hAnsi="仿宋_GB2312" w:eastAsia="仿宋_GB2312"/>
          <w:sz w:val="32"/>
        </w:rPr>
        <w:t>（9）职能转变。托里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6C987C1B">
      <w:pPr>
        <w:spacing w:line="580" w:lineRule="exact"/>
        <w:ind w:firstLine="640"/>
        <w:jc w:val="both"/>
      </w:pPr>
      <w:r>
        <w:rPr>
          <w:rFonts w:ascii="仿宋_GB2312" w:hAnsi="仿宋_GB2312" w:eastAsia="仿宋_GB2312"/>
          <w:sz w:val="32"/>
        </w:rPr>
        <w:t>（10）与托里县卫生健康委员会的有关职责分工。</w:t>
      </w:r>
    </w:p>
    <w:p w14:paraId="68DA776A">
      <w:pPr>
        <w:spacing w:line="580" w:lineRule="exact"/>
        <w:ind w:firstLine="640"/>
        <w:jc w:val="both"/>
      </w:pPr>
      <w:r>
        <w:rPr>
          <w:rFonts w:ascii="仿宋_GB2312" w:hAnsi="仿宋_GB2312" w:eastAsia="仿宋_GB2312"/>
          <w:sz w:val="32"/>
        </w:rPr>
        <w:t>托里县卫生健康委员会、托里县医疗保障局等部门在医疗、医保、医药等方面加强制度、政策衔接，建立沟通协商机制，协同推进改革，提高医疗资源使用效率和医疗保障水平。</w:t>
      </w:r>
    </w:p>
    <w:p w14:paraId="40018231">
      <w:pPr>
        <w:spacing w:line="640" w:lineRule="exact"/>
        <w:ind w:firstLine="640"/>
        <w:jc w:val="both"/>
        <w:outlineLvl w:val="2"/>
      </w:pPr>
      <w:r>
        <w:rPr>
          <w:rFonts w:ascii="黑体" w:hAnsi="黑体" w:eastAsia="黑体"/>
          <w:sz w:val="32"/>
        </w:rPr>
        <w:t>二、机构设置及人员情况</w:t>
      </w:r>
    </w:p>
    <w:p w14:paraId="4CB5CCBE">
      <w:pPr>
        <w:spacing w:line="580" w:lineRule="exact"/>
        <w:ind w:firstLine="640"/>
        <w:jc w:val="both"/>
      </w:pPr>
      <w:r>
        <w:rPr>
          <w:rFonts w:ascii="仿宋_GB2312" w:hAnsi="仿宋_GB2312" w:eastAsia="仿宋_GB2312"/>
          <w:sz w:val="32"/>
        </w:rPr>
        <w:t>托里县医疗保障局2024年度，实有人数19人，其中：在职人员17人，增加1人；离休人员0人，增加0人；退休人员2人,增加1人。</w:t>
      </w:r>
    </w:p>
    <w:p w14:paraId="51C15796">
      <w:pPr>
        <w:spacing w:line="580" w:lineRule="exact"/>
        <w:ind w:firstLine="640"/>
        <w:jc w:val="both"/>
        <w:rPr>
          <w:spacing w:val="-6"/>
          <w:sz w:val="32"/>
        </w:rPr>
      </w:pPr>
      <w:r>
        <w:rPr>
          <w:rFonts w:ascii="仿宋_GB2312" w:hAnsi="仿宋_GB2312" w:eastAsia="仿宋_GB2312"/>
          <w:spacing w:val="-6"/>
          <w:sz w:val="32"/>
        </w:rPr>
        <w:t>托里县医疗保障局无下属预算单位，下设7个科室，分别是：办公室、财务室、稽核科、征缴科、集采科、医疗救助科、待遇科。</w:t>
      </w:r>
    </w:p>
    <w:p w14:paraId="04547BDD">
      <w:r>
        <w:br w:type="page"/>
      </w:r>
    </w:p>
    <w:p w14:paraId="2C0C0EB7">
      <w:pPr>
        <w:spacing w:line="240" w:lineRule="auto"/>
        <w:jc w:val="center"/>
        <w:outlineLvl w:val="1"/>
      </w:pPr>
      <w:r>
        <w:rPr>
          <w:rFonts w:ascii="黑体" w:hAnsi="黑体" w:eastAsia="黑体"/>
          <w:sz w:val="32"/>
        </w:rPr>
        <w:t>第二部分 部门决算情况说明</w:t>
      </w:r>
    </w:p>
    <w:p w14:paraId="2CBB101B">
      <w:pPr>
        <w:spacing w:line="640" w:lineRule="exact"/>
        <w:ind w:firstLine="640"/>
        <w:jc w:val="both"/>
        <w:outlineLvl w:val="2"/>
      </w:pPr>
      <w:r>
        <w:rPr>
          <w:rFonts w:ascii="黑体" w:hAnsi="黑体" w:eastAsia="黑体"/>
          <w:sz w:val="32"/>
        </w:rPr>
        <w:t>一、收入支出决算总体情况说明</w:t>
      </w:r>
    </w:p>
    <w:p w14:paraId="3B9ABBCF">
      <w:pPr>
        <w:spacing w:line="580" w:lineRule="exact"/>
        <w:ind w:firstLine="640"/>
        <w:jc w:val="both"/>
      </w:pPr>
      <w:r>
        <w:rPr>
          <w:rFonts w:ascii="仿宋_GB2312" w:hAnsi="仿宋_GB2312" w:eastAsia="仿宋_GB2312"/>
          <w:b/>
          <w:sz w:val="32"/>
        </w:rPr>
        <w:t>2024年度收入总计335.85万元，</w:t>
      </w:r>
      <w:r>
        <w:rPr>
          <w:rFonts w:ascii="仿宋_GB2312" w:hAnsi="仿宋_GB2312" w:eastAsia="仿宋_GB2312"/>
          <w:b w:val="0"/>
          <w:sz w:val="32"/>
        </w:rPr>
        <w:t>其中：本年收入合计335.85万元，使用非财政拨款结余（含专用结余）0.00万元，年初结转和结余0.00万元。</w:t>
      </w:r>
    </w:p>
    <w:p w14:paraId="7F2E6824">
      <w:pPr>
        <w:spacing w:line="580" w:lineRule="exact"/>
        <w:ind w:firstLine="640"/>
        <w:jc w:val="both"/>
      </w:pPr>
      <w:r>
        <w:rPr>
          <w:rFonts w:ascii="仿宋_GB2312" w:hAnsi="仿宋_GB2312" w:eastAsia="仿宋_GB2312"/>
          <w:b/>
          <w:sz w:val="32"/>
        </w:rPr>
        <w:t>2024年度支出总计335.85万元，</w:t>
      </w:r>
      <w:r>
        <w:rPr>
          <w:rFonts w:ascii="仿宋_GB2312" w:hAnsi="仿宋_GB2312" w:eastAsia="仿宋_GB2312"/>
          <w:b w:val="0"/>
          <w:sz w:val="32"/>
        </w:rPr>
        <w:t>其中：本年支出合计335.85万元，结余分配0.00万元，年末结转和结余0.01万元。</w:t>
      </w:r>
    </w:p>
    <w:p w14:paraId="63CD8136">
      <w:pPr>
        <w:spacing w:line="580" w:lineRule="exact"/>
        <w:ind w:firstLine="640"/>
        <w:jc w:val="both"/>
      </w:pPr>
      <w:r>
        <w:rPr>
          <w:rFonts w:ascii="仿宋_GB2312" w:hAnsi="仿宋_GB2312" w:eastAsia="仿宋_GB2312"/>
          <w:b w:val="0"/>
          <w:sz w:val="32"/>
        </w:rPr>
        <w:t>收入支出总体与上年相比，增加2.46万元，增长0.74%，主要原因是：本年在职人员增加，在职人员工资调增、社保、公积金基数调增，人员经费增加。</w:t>
      </w:r>
    </w:p>
    <w:p w14:paraId="66B88E0E">
      <w:pPr>
        <w:spacing w:line="640" w:lineRule="exact"/>
        <w:ind w:firstLine="640"/>
        <w:jc w:val="both"/>
        <w:outlineLvl w:val="2"/>
      </w:pPr>
      <w:r>
        <w:rPr>
          <w:rFonts w:ascii="黑体" w:hAnsi="黑体" w:eastAsia="黑体"/>
          <w:sz w:val="32"/>
        </w:rPr>
        <w:t>二、收入决算情况说明</w:t>
      </w:r>
    </w:p>
    <w:p w14:paraId="53468835">
      <w:pPr>
        <w:spacing w:line="580" w:lineRule="exact"/>
        <w:ind w:firstLine="640"/>
        <w:jc w:val="both"/>
      </w:pPr>
      <w:r>
        <w:rPr>
          <w:rFonts w:ascii="仿宋_GB2312" w:hAnsi="仿宋_GB2312" w:eastAsia="仿宋_GB2312"/>
          <w:b/>
          <w:sz w:val="32"/>
        </w:rPr>
        <w:t>本年收入335.85万元，</w:t>
      </w:r>
      <w:r>
        <w:rPr>
          <w:rFonts w:ascii="仿宋_GB2312" w:hAnsi="仿宋_GB2312" w:eastAsia="仿宋_GB2312"/>
          <w:b w:val="0"/>
          <w:sz w:val="32"/>
        </w:rPr>
        <w:t>其中：财政拨款收入335.85万元，占100.00%；上级补助收入0.00万元，占0.00%；事业收入0.00万元，占0.00%；经营收入0.00万元，占0.00%；附属单位上缴收入0.00万元，占0.00%；其他收入0.00万元，占0.00%。</w:t>
      </w:r>
    </w:p>
    <w:p w14:paraId="477C5899">
      <w:pPr>
        <w:spacing w:line="640" w:lineRule="exact"/>
        <w:ind w:firstLine="640"/>
        <w:jc w:val="both"/>
        <w:outlineLvl w:val="2"/>
      </w:pPr>
      <w:r>
        <w:rPr>
          <w:rFonts w:ascii="黑体" w:hAnsi="黑体" w:eastAsia="黑体"/>
          <w:sz w:val="32"/>
        </w:rPr>
        <w:t>三、支出决算情况说明</w:t>
      </w:r>
    </w:p>
    <w:p w14:paraId="30A5F8CD">
      <w:pPr>
        <w:spacing w:line="580" w:lineRule="exact"/>
        <w:ind w:firstLine="640"/>
        <w:jc w:val="both"/>
      </w:pPr>
      <w:r>
        <w:rPr>
          <w:rFonts w:ascii="仿宋_GB2312" w:hAnsi="仿宋_GB2312" w:eastAsia="仿宋_GB2312"/>
          <w:b/>
          <w:sz w:val="32"/>
        </w:rPr>
        <w:t>本年支出335.85万元，</w:t>
      </w:r>
      <w:r>
        <w:rPr>
          <w:rFonts w:ascii="仿宋_GB2312" w:hAnsi="仿宋_GB2312" w:eastAsia="仿宋_GB2312"/>
          <w:b w:val="0"/>
          <w:sz w:val="32"/>
        </w:rPr>
        <w:t>其中：基本支出328.92万元，占97.94%；项目支出6.92万元，占2.06%；上缴上级支出0.00万元，占0.00%；经营支出0.00万元，占0.00%；对附属单位补助支出0.00万元，占0.00%。</w:t>
      </w:r>
    </w:p>
    <w:p w14:paraId="24F79D3F">
      <w:pPr>
        <w:spacing w:line="640" w:lineRule="exact"/>
        <w:ind w:firstLine="640"/>
        <w:jc w:val="both"/>
        <w:outlineLvl w:val="2"/>
      </w:pPr>
      <w:r>
        <w:rPr>
          <w:rFonts w:ascii="黑体" w:hAnsi="黑体" w:eastAsia="黑体"/>
          <w:sz w:val="32"/>
        </w:rPr>
        <w:t>四、财政拨款收入支出决算总体情况说明</w:t>
      </w:r>
    </w:p>
    <w:p w14:paraId="664D54F2">
      <w:pPr>
        <w:spacing w:line="580" w:lineRule="exact"/>
        <w:ind w:firstLine="640"/>
        <w:jc w:val="both"/>
      </w:pPr>
      <w:r>
        <w:rPr>
          <w:rFonts w:ascii="仿宋_GB2312" w:hAnsi="仿宋_GB2312" w:eastAsia="仿宋_GB2312"/>
          <w:b/>
          <w:sz w:val="32"/>
        </w:rPr>
        <w:t>2024年度财政拨款收入总计335.85万元，</w:t>
      </w:r>
      <w:r>
        <w:rPr>
          <w:rFonts w:ascii="仿宋_GB2312" w:hAnsi="仿宋_GB2312" w:eastAsia="仿宋_GB2312"/>
          <w:b w:val="0"/>
          <w:sz w:val="32"/>
        </w:rPr>
        <w:t>其中：年初财政拨款结转和结余0.00万元，本年财政拨款收入335.85万元。</w:t>
      </w:r>
      <w:r>
        <w:rPr>
          <w:rFonts w:ascii="仿宋_GB2312" w:hAnsi="仿宋_GB2312" w:eastAsia="仿宋_GB2312"/>
          <w:b/>
          <w:sz w:val="32"/>
        </w:rPr>
        <w:t>财政拨款支出总计335.85万元，</w:t>
      </w:r>
      <w:r>
        <w:rPr>
          <w:rFonts w:ascii="仿宋_GB2312" w:hAnsi="仿宋_GB2312" w:eastAsia="仿宋_GB2312"/>
          <w:b w:val="0"/>
          <w:sz w:val="32"/>
        </w:rPr>
        <w:t>其中：年末财政拨款结转和结余0.00万元，本年财政拨款支出335.85万元。</w:t>
      </w:r>
    </w:p>
    <w:p w14:paraId="1B9602D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增加2.46万元，增长0.74%，主要原因是：本年在职人员增加，在职人员工资调增、社保、公积金基数调增，人员经费增加。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年初预算数315.79万元，决算数335.85万元，预决算差异率6.35%，主要原因是：本年在职人员增加，年中追加人员经费及人员工资、社保、公积金基数调增部分资金，导致预决算存在差异。</w:t>
      </w:r>
    </w:p>
    <w:p w14:paraId="6E7DAA15">
      <w:pPr>
        <w:spacing w:line="640" w:lineRule="exact"/>
        <w:ind w:firstLine="640"/>
        <w:jc w:val="both"/>
        <w:outlineLvl w:val="2"/>
      </w:pPr>
      <w:r>
        <w:rPr>
          <w:rFonts w:ascii="黑体" w:hAnsi="黑体" w:eastAsia="黑体"/>
          <w:sz w:val="32"/>
        </w:rPr>
        <w:t>五、一般公共预算财政拨款支出决算情况说明</w:t>
      </w:r>
    </w:p>
    <w:p w14:paraId="17DC1B8D">
      <w:pPr>
        <w:spacing w:line="640" w:lineRule="exact"/>
        <w:ind w:firstLine="640"/>
        <w:jc w:val="both"/>
        <w:outlineLvl w:val="3"/>
      </w:pPr>
      <w:r>
        <w:rPr>
          <w:rFonts w:ascii="楷体_GB2312" w:hAnsi="楷体_GB2312" w:eastAsia="楷体_GB2312"/>
          <w:b/>
          <w:sz w:val="32"/>
        </w:rPr>
        <w:t>（一）一般公共预算财政拨款支出决算总体情况</w:t>
      </w:r>
    </w:p>
    <w:p w14:paraId="7039EF76">
      <w:pPr>
        <w:spacing w:line="580" w:lineRule="exact"/>
        <w:ind w:firstLine="640"/>
        <w:jc w:val="both"/>
      </w:pPr>
      <w:r>
        <w:rPr>
          <w:rFonts w:ascii="仿宋_GB2312" w:hAnsi="仿宋_GB2312" w:eastAsia="仿宋_GB2312"/>
          <w:b/>
          <w:sz w:val="32"/>
        </w:rPr>
        <w:t>2024年度一般公共预算财政拨款支出335.85万元，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增加2.46万元，增长0.74%，主要原因是：本年在职人员增加，在职人员工资调增、社保、公积金基数调增，人员经费增加。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年初预算数315.79万元，决算数335.85万元，预决算差异率6.35%，主要原因是：本年在职人员增加，年中追加人员经费及人员工资、社保、公积金基数调增部分资金，导致预决算存在差异。</w:t>
      </w:r>
    </w:p>
    <w:p w14:paraId="300BD7CC">
      <w:pPr>
        <w:spacing w:line="640" w:lineRule="exact"/>
        <w:ind w:firstLine="640"/>
        <w:jc w:val="both"/>
        <w:outlineLvl w:val="3"/>
      </w:pPr>
      <w:r>
        <w:rPr>
          <w:rFonts w:ascii="楷体_GB2312" w:hAnsi="楷体_GB2312" w:eastAsia="楷体_GB2312"/>
          <w:b/>
          <w:sz w:val="32"/>
        </w:rPr>
        <w:t>（二）一般公共预算财政拨款支出决算结构情况</w:t>
      </w:r>
    </w:p>
    <w:p w14:paraId="4200746B">
      <w:pPr>
        <w:spacing w:line="580" w:lineRule="exact"/>
        <w:ind w:firstLine="640"/>
        <w:jc w:val="both"/>
      </w:pPr>
      <w:r>
        <w:rPr>
          <w:rFonts w:ascii="仿宋_GB2312" w:hAnsi="仿宋_GB2312" w:eastAsia="仿宋_GB2312"/>
          <w:b w:val="0"/>
          <w:sz w:val="32"/>
        </w:rPr>
        <w:t>1.社会保障和就业支出(类)38.19万元,占11.37%。</w:t>
      </w:r>
    </w:p>
    <w:p w14:paraId="78C25FBF">
      <w:pPr>
        <w:spacing w:line="580" w:lineRule="exact"/>
        <w:ind w:firstLine="640"/>
        <w:jc w:val="both"/>
      </w:pPr>
      <w:r>
        <w:rPr>
          <w:rFonts w:ascii="仿宋_GB2312" w:hAnsi="仿宋_GB2312" w:eastAsia="仿宋_GB2312"/>
          <w:b w:val="0"/>
          <w:sz w:val="32"/>
        </w:rPr>
        <w:t>2.卫生健康支出(类)275.68万元,占82.08%。</w:t>
      </w:r>
    </w:p>
    <w:p w14:paraId="157EB3BD">
      <w:pPr>
        <w:spacing w:line="580" w:lineRule="exact"/>
        <w:ind w:firstLine="640"/>
        <w:jc w:val="both"/>
      </w:pPr>
      <w:r>
        <w:rPr>
          <w:rFonts w:ascii="仿宋_GB2312" w:hAnsi="仿宋_GB2312" w:eastAsia="仿宋_GB2312"/>
          <w:b w:val="0"/>
          <w:sz w:val="32"/>
        </w:rPr>
        <w:t>3.住房保障支出(类)21.97万元,占6.54%。</w:t>
      </w:r>
    </w:p>
    <w:p w14:paraId="7616DB7C">
      <w:pPr>
        <w:spacing w:line="640" w:lineRule="exact"/>
        <w:ind w:firstLine="640"/>
        <w:jc w:val="both"/>
        <w:outlineLvl w:val="3"/>
      </w:pPr>
      <w:r>
        <w:rPr>
          <w:rFonts w:ascii="楷体_GB2312" w:hAnsi="楷体_GB2312" w:eastAsia="楷体_GB2312"/>
          <w:b/>
          <w:sz w:val="32"/>
        </w:rPr>
        <w:t>（三）一般公共预算财政拨款支出决算具体情况</w:t>
      </w:r>
    </w:p>
    <w:p w14:paraId="68F9B87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1.社会保障和就业支出(类)行政事业单位养老支出(款)行政单位离退休(项):支出决算数为0.84万元，比上年决算增加0.16万元，增长23.53%,主要原因是：本年退休人员增加，退休费支出增加。</w:t>
      </w:r>
    </w:p>
    <w:p w14:paraId="64D5D65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26.28万元，比上年决算增加1.53万元，增长6.18%,主要原因是：本年在职人员增加，在职人员工资基数调增，养老缴费基数上涨，相应支出增加。</w:t>
      </w:r>
    </w:p>
    <w:p w14:paraId="1BD93BC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3.社会保障和就业支出(类)行政事业单位养老支出(款)机关事业单位职业年金缴费支出(项):支出决算数为7.15万元，比上年决算增加0.46万元，增长6.88%,主要原因是：本年新增退休人员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40A23B3F">
      <w:pPr>
        <w:spacing w:line="580" w:lineRule="exact"/>
        <w:ind w:firstLine="640"/>
        <w:jc w:val="both"/>
      </w:pPr>
      <w:r>
        <w:rPr>
          <w:rFonts w:ascii="仿宋_GB2312" w:hAnsi="仿宋_GB2312" w:eastAsia="仿宋_GB2312"/>
          <w:b w:val="0"/>
          <w:sz w:val="32"/>
        </w:rPr>
        <w:t>4.社会保障和就业支出(类)就业补助(款)社会保险补贴(项):支出决算数为3.92万元，比上年决算增加1.71万元，增长77.38%,主要原因是：本年功能科目调整，公益性岗位缴纳社保医保补贴由其他就业补助支出列支调整至社会保险补贴科目列支，导致经费较上年增加。</w:t>
      </w:r>
    </w:p>
    <w:p w14:paraId="318F4A57">
      <w:pPr>
        <w:spacing w:line="580" w:lineRule="exact"/>
        <w:ind w:firstLine="640"/>
        <w:jc w:val="both"/>
      </w:pPr>
      <w:r>
        <w:rPr>
          <w:rFonts w:ascii="仿宋_GB2312" w:hAnsi="仿宋_GB2312" w:eastAsia="仿宋_GB2312"/>
          <w:b w:val="0"/>
          <w:sz w:val="32"/>
        </w:rPr>
        <w:t>5.社会保障和就业支出(类)就业补助(款)其他就业补助支出(项):支出决算数为0.00万元，比上年决算减少4.10万元，下降100.00%,主要原因是：本年功能科目调整，公益性岗位缴纳社保医保补贴由本科目调整至社会保险补贴科目列支，导致经费较上年减少。</w:t>
      </w:r>
    </w:p>
    <w:p w14:paraId="61C09240">
      <w:pPr>
        <w:spacing w:line="580" w:lineRule="exact"/>
        <w:ind w:firstLine="640"/>
        <w:jc w:val="both"/>
      </w:pPr>
      <w:r>
        <w:rPr>
          <w:rFonts w:ascii="仿宋_GB2312" w:hAnsi="仿宋_GB2312" w:eastAsia="仿宋_GB2312"/>
          <w:b w:val="0"/>
          <w:sz w:val="32"/>
        </w:rPr>
        <w:t>6.卫生健康支出(类)行政事业单位医疗(款)行政单位医疗(项):支出决算数为11.24万元，比上年决算增加0.01万元，增长0.09%,主要原因是：本年在职人员增加，行政单位</w:t>
      </w:r>
      <w:r>
        <w:rPr>
          <w:rFonts w:hint="eastAsia" w:ascii="仿宋_GB2312" w:hAnsi="仿宋_GB2312" w:eastAsia="仿宋_GB2312"/>
          <w:b w:val="0"/>
          <w:sz w:val="32"/>
          <w:lang w:eastAsia="zh-CN"/>
        </w:rPr>
        <w:t>医疗</w:t>
      </w:r>
      <w:r>
        <w:rPr>
          <w:rFonts w:ascii="仿宋_GB2312" w:hAnsi="仿宋_GB2312" w:eastAsia="仿宋_GB2312"/>
          <w:b w:val="0"/>
          <w:sz w:val="32"/>
        </w:rPr>
        <w:t>支出较上年增加。</w:t>
      </w:r>
    </w:p>
    <w:p w14:paraId="05C40293">
      <w:pPr>
        <w:spacing w:line="580" w:lineRule="exact"/>
        <w:ind w:firstLine="640"/>
        <w:jc w:val="both"/>
      </w:pPr>
      <w:r>
        <w:rPr>
          <w:rFonts w:ascii="仿宋_GB2312" w:hAnsi="仿宋_GB2312" w:eastAsia="仿宋_GB2312"/>
          <w:b w:val="0"/>
          <w:sz w:val="32"/>
        </w:rPr>
        <w:t>7.卫生健康支出(类)行政事业单位医疗(款)公务员医疗补助(项):支出决算数为1.45万元，比上年决算减少0.40万元，下降21.62%,主要原因是：本年新增一名公务人员，一名公务员转退休人员，人员职级不同，缴费基数不同，导致公务员医疗补助较上年减少。</w:t>
      </w:r>
    </w:p>
    <w:p w14:paraId="70E97A41">
      <w:pPr>
        <w:spacing w:line="580" w:lineRule="exact"/>
        <w:ind w:firstLine="640"/>
        <w:jc w:val="both"/>
      </w:pPr>
      <w:r>
        <w:rPr>
          <w:rFonts w:ascii="仿宋_GB2312" w:hAnsi="仿宋_GB2312" w:eastAsia="仿宋_GB2312"/>
          <w:b w:val="0"/>
          <w:sz w:val="32"/>
        </w:rPr>
        <w:t>8.卫生健康支出(类)医疗保障管理事务(款)行政运行(项):支出决算数为259.98万元，比上年决算增加10.98万元，增长4.41%,主要原因是：本年新增在职人员，人员工资调增，导致经费较上年有所增加。</w:t>
      </w:r>
    </w:p>
    <w:p w14:paraId="261D28FC">
      <w:pPr>
        <w:spacing w:line="580" w:lineRule="exact"/>
        <w:ind w:firstLine="640"/>
        <w:jc w:val="both"/>
      </w:pPr>
      <w:r>
        <w:rPr>
          <w:rFonts w:ascii="仿宋_GB2312" w:hAnsi="仿宋_GB2312" w:eastAsia="仿宋_GB2312"/>
          <w:b w:val="0"/>
          <w:sz w:val="32"/>
        </w:rPr>
        <w:t>9.卫生健康支出(类)医疗保障管理事务(款)医疗保障经办事务(项):支出决算数为0.00万元，比上年决算减少3.00万元，下降100.00%,主要原因是：本年功能科目调整，全民参保及医疗服务补助经费由本科目调整至其他医疗保障管理事务支出科目列支，相关支出减少。</w:t>
      </w:r>
    </w:p>
    <w:p w14:paraId="5EB9AAB0">
      <w:pPr>
        <w:spacing w:line="580" w:lineRule="exact"/>
        <w:ind w:firstLine="640"/>
        <w:jc w:val="both"/>
      </w:pPr>
      <w:r>
        <w:rPr>
          <w:rFonts w:ascii="仿宋_GB2312" w:hAnsi="仿宋_GB2312" w:eastAsia="仿宋_GB2312"/>
          <w:b w:val="0"/>
          <w:sz w:val="32"/>
        </w:rPr>
        <w:t>10.卫生健康支出(类)医疗保障管理事务(款)其他医疗保障管理事务支出(项):支出决算数为3.00万元，比上年决算减少7.00万元，下降70.00%,主要原因是：本年减少中央财政医疗服务与保障能力提升补助项目经费，相关支出减少。</w:t>
      </w:r>
    </w:p>
    <w:p w14:paraId="618AC832">
      <w:pPr>
        <w:spacing w:line="580" w:lineRule="exact"/>
        <w:ind w:firstLine="640"/>
        <w:jc w:val="both"/>
      </w:pPr>
      <w:r>
        <w:rPr>
          <w:rFonts w:ascii="仿宋_GB2312" w:hAnsi="仿宋_GB2312" w:eastAsia="仿宋_GB2312"/>
          <w:b w:val="0"/>
          <w:sz w:val="32"/>
        </w:rPr>
        <w:t>11.住房保障支出(类)住房改革支出(款)住房公积金(项):支出决算数为21.97万元，比上年决算增加2.08万元，增长10.46%,主要原因是：本年在职人员增加，住房公积金支出较上年增加。</w:t>
      </w:r>
    </w:p>
    <w:p w14:paraId="7947DA43">
      <w:pPr>
        <w:spacing w:line="640" w:lineRule="exact"/>
        <w:ind w:firstLine="640"/>
        <w:jc w:val="both"/>
        <w:outlineLvl w:val="2"/>
      </w:pPr>
      <w:r>
        <w:rPr>
          <w:rFonts w:ascii="黑体" w:hAnsi="黑体" w:eastAsia="黑体"/>
          <w:sz w:val="32"/>
        </w:rPr>
        <w:t>六、一般公共预算财政拨款基本支出决算情况说明</w:t>
      </w:r>
    </w:p>
    <w:p w14:paraId="17A66DBB">
      <w:pPr>
        <w:spacing w:line="580" w:lineRule="exact"/>
        <w:ind w:firstLine="640"/>
        <w:jc w:val="both"/>
      </w:pPr>
      <w:r>
        <w:rPr>
          <w:rFonts w:ascii="仿宋_GB2312" w:hAnsi="仿宋_GB2312" w:eastAsia="仿宋_GB2312"/>
          <w:b w:val="0"/>
          <w:sz w:val="32"/>
        </w:rPr>
        <w:t>2024年度一般公共预算财政拨款基本支出328.92万元，其中：</w:t>
      </w:r>
      <w:r>
        <w:rPr>
          <w:rFonts w:ascii="仿宋_GB2312" w:hAnsi="仿宋_GB2312" w:eastAsia="仿宋_GB2312"/>
          <w:b/>
          <w:sz w:val="32"/>
        </w:rPr>
        <w:t>人员经费306.44万元，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医疗费补助。</w:t>
      </w:r>
    </w:p>
    <w:p w14:paraId="578CB101">
      <w:pPr>
        <w:spacing w:line="580" w:lineRule="exact"/>
        <w:ind w:firstLine="640"/>
        <w:jc w:val="both"/>
      </w:pPr>
      <w:r>
        <w:rPr>
          <w:rFonts w:ascii="仿宋_GB2312" w:hAnsi="仿宋_GB2312" w:eastAsia="仿宋_GB2312"/>
          <w:b/>
          <w:sz w:val="32"/>
        </w:rPr>
        <w:t>公用经费22.48万元，</w:t>
      </w:r>
      <w:r>
        <w:rPr>
          <w:rFonts w:ascii="仿宋_GB2312" w:hAnsi="仿宋_GB2312" w:eastAsia="仿宋_GB2312"/>
          <w:b w:val="0"/>
          <w:sz w:val="32"/>
        </w:rPr>
        <w:t>包括：办公费、水费、电费、邮电费、取暖费、差旅费、维修（护）费、培训费、劳务费、委托业务费、工会经费、其他商品和服务支出。</w:t>
      </w:r>
    </w:p>
    <w:p w14:paraId="0059056E">
      <w:pPr>
        <w:spacing w:line="640" w:lineRule="exact"/>
        <w:ind w:firstLine="640"/>
        <w:jc w:val="both"/>
        <w:outlineLvl w:val="2"/>
      </w:pPr>
      <w:r>
        <w:rPr>
          <w:rFonts w:ascii="黑体" w:hAnsi="黑体" w:eastAsia="黑体"/>
          <w:sz w:val="32"/>
        </w:rPr>
        <w:t>七、政府性基金预算财政拨款收入支出决算情况说明</w:t>
      </w:r>
    </w:p>
    <w:p w14:paraId="6ED67BC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1E45EE">
      <w:pPr>
        <w:spacing w:line="640" w:lineRule="exact"/>
        <w:ind w:firstLine="640"/>
        <w:jc w:val="both"/>
        <w:outlineLvl w:val="2"/>
      </w:pPr>
      <w:r>
        <w:rPr>
          <w:rFonts w:ascii="黑体" w:hAnsi="黑体" w:eastAsia="黑体"/>
          <w:sz w:val="32"/>
        </w:rPr>
        <w:t>八、国有资本经营预算财政拨款收入支出决算情况说明</w:t>
      </w:r>
    </w:p>
    <w:p w14:paraId="5306429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F8B8DE">
      <w:pPr>
        <w:spacing w:line="640" w:lineRule="exact"/>
        <w:ind w:firstLine="640"/>
        <w:jc w:val="both"/>
        <w:outlineLvl w:val="2"/>
      </w:pPr>
      <w:r>
        <w:rPr>
          <w:rFonts w:ascii="黑体" w:hAnsi="黑体" w:eastAsia="黑体"/>
          <w:sz w:val="32"/>
        </w:rPr>
        <w:t>九、财政拨款“三公”经费支出决算情况说明</w:t>
      </w:r>
    </w:p>
    <w:p w14:paraId="56ACA83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比上年减少2.22万元，下降100.00%，主要原因是：严格落实中央</w:t>
      </w:r>
      <w:bookmarkStart w:id="0" w:name="_GoBack"/>
      <w:r>
        <w:rPr>
          <w:rFonts w:ascii="仿宋_GB2312" w:hAnsi="仿宋_GB2312" w:eastAsia="仿宋_GB2312"/>
          <w:b w:val="0"/>
          <w:sz w:val="32"/>
        </w:rPr>
        <w:t>八项规定</w:t>
      </w:r>
      <w:bookmarkEnd w:id="0"/>
      <w:r>
        <w:rPr>
          <w:rFonts w:ascii="仿宋_GB2312" w:hAnsi="仿宋_GB2312" w:eastAsia="仿宋_GB2312"/>
          <w:b w:val="0"/>
          <w:sz w:val="32"/>
        </w:rPr>
        <w:t>精神，厉行节约，减少公务用车运行维护费。其中：因公出国（境）费支出0.00万元，占0.00%，比上年增加0.00万元，增长0.00%，主要原因是：2023年与2024年均未安排因公出国（境）费支出。公务用车购置及运行维护费支出0.00万元，占0.00%，比上年减少2.22万元，下降100.00%，主要原因是：严格落实中央八项规定精神，厉行节约，减少公务用车运行维护费。公务接待费支出0.00万元，占0.00%，比上年增加0.00万元，增长0.00%，主要原因是：2023年与2024年均未安排公务接待费支出。</w:t>
      </w:r>
    </w:p>
    <w:p w14:paraId="6E4F19E2">
      <w:pPr>
        <w:spacing w:line="580" w:lineRule="exact"/>
        <w:ind w:firstLine="640"/>
        <w:jc w:val="both"/>
      </w:pPr>
      <w:r>
        <w:rPr>
          <w:rFonts w:ascii="仿宋_GB2312" w:hAnsi="仿宋_GB2312" w:eastAsia="仿宋_GB2312"/>
          <w:b/>
          <w:sz w:val="32"/>
        </w:rPr>
        <w:t>具体情况如下：</w:t>
      </w:r>
    </w:p>
    <w:p w14:paraId="5359D56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5CDAA4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724CFA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F180B7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CEDEDE6">
      <w:pPr>
        <w:spacing w:line="640" w:lineRule="exact"/>
        <w:ind w:firstLine="640"/>
        <w:jc w:val="both"/>
        <w:outlineLvl w:val="2"/>
      </w:pPr>
      <w:r>
        <w:rPr>
          <w:rFonts w:ascii="黑体" w:hAnsi="黑体" w:eastAsia="黑体"/>
          <w:sz w:val="32"/>
        </w:rPr>
        <w:t>十、其他重要事项的情况说明</w:t>
      </w:r>
    </w:p>
    <w:p w14:paraId="6D588756">
      <w:pPr>
        <w:spacing w:line="640" w:lineRule="exact"/>
        <w:ind w:firstLine="640"/>
        <w:jc w:val="both"/>
        <w:outlineLvl w:val="3"/>
      </w:pPr>
      <w:r>
        <w:rPr>
          <w:rFonts w:ascii="楷体_GB2312" w:hAnsi="楷体_GB2312" w:eastAsia="楷体_GB2312"/>
          <w:b/>
          <w:sz w:val="32"/>
        </w:rPr>
        <w:t>（一）机关运行经费及公用经费支出情况</w:t>
      </w:r>
    </w:p>
    <w:p w14:paraId="08A9F798">
      <w:pPr>
        <w:spacing w:line="580" w:lineRule="exact"/>
        <w:ind w:firstLine="640"/>
        <w:jc w:val="both"/>
      </w:pPr>
      <w:r>
        <w:rPr>
          <w:rFonts w:ascii="仿宋_GB2312" w:hAnsi="仿宋_GB2312" w:eastAsia="仿宋_GB2312"/>
          <w:b w:val="0"/>
          <w:sz w:val="32"/>
        </w:rPr>
        <w:t>2024年度托里县医疗保障局（行政单位和参照公务员法管理事业单位）机关运行经费支出22.48万元，比上年增加9.12万元，增长68.26%，主要原因是：本年办公费、差旅费等经费增加，机关运行经费支出增加。</w:t>
      </w:r>
    </w:p>
    <w:p w14:paraId="6911FA28">
      <w:pPr>
        <w:spacing w:line="640" w:lineRule="exact"/>
        <w:ind w:firstLine="640"/>
        <w:jc w:val="both"/>
        <w:outlineLvl w:val="3"/>
      </w:pPr>
      <w:r>
        <w:rPr>
          <w:rFonts w:ascii="楷体_GB2312" w:hAnsi="楷体_GB2312" w:eastAsia="楷体_GB2312"/>
          <w:b/>
          <w:sz w:val="32"/>
        </w:rPr>
        <w:t>（二）政府采购情况</w:t>
      </w:r>
    </w:p>
    <w:p w14:paraId="41C61E98">
      <w:pPr>
        <w:spacing w:line="580" w:lineRule="exact"/>
        <w:ind w:firstLine="640"/>
        <w:jc w:val="both"/>
      </w:pPr>
      <w:r>
        <w:rPr>
          <w:rFonts w:ascii="仿宋_GB2312" w:hAnsi="仿宋_GB2312" w:eastAsia="仿宋_GB2312"/>
          <w:b w:val="0"/>
          <w:sz w:val="32"/>
        </w:rPr>
        <w:t>2024年度政府采购支出总额4.26万元，其中：政府采购货物支出1.66万元、政府采购工程支出0.00万元、政府采购服务支出2.60万元。</w:t>
      </w:r>
    </w:p>
    <w:p w14:paraId="7F5D29F3">
      <w:pPr>
        <w:spacing w:line="580" w:lineRule="exact"/>
        <w:ind w:firstLine="640"/>
        <w:jc w:val="both"/>
      </w:pPr>
      <w:r>
        <w:rPr>
          <w:rFonts w:ascii="仿宋_GB2312" w:hAnsi="仿宋_GB2312" w:eastAsia="仿宋_GB2312"/>
          <w:b w:val="0"/>
          <w:sz w:val="32"/>
        </w:rPr>
        <w:t>授予中小企业合同金额4.26万元，占政府采购支出总额的100.00%，其中：授予小微企业合同金额4.26万元，占政府采购支出总额的100.00%。</w:t>
      </w:r>
    </w:p>
    <w:p w14:paraId="2F583EA3">
      <w:pPr>
        <w:spacing w:line="640" w:lineRule="exact"/>
        <w:ind w:firstLine="640"/>
        <w:jc w:val="both"/>
        <w:outlineLvl w:val="3"/>
      </w:pPr>
      <w:r>
        <w:rPr>
          <w:rFonts w:ascii="楷体_GB2312" w:hAnsi="楷体_GB2312" w:eastAsia="楷体_GB2312"/>
          <w:b/>
          <w:sz w:val="32"/>
        </w:rPr>
        <w:t>（三）国有资产占用情况说明</w:t>
      </w:r>
    </w:p>
    <w:p w14:paraId="7079896B">
      <w:pPr>
        <w:spacing w:line="580" w:lineRule="exact"/>
        <w:ind w:firstLine="640"/>
        <w:jc w:val="both"/>
      </w:pPr>
      <w:r>
        <w:rPr>
          <w:rFonts w:ascii="仿宋_GB2312" w:hAnsi="仿宋_GB2312" w:eastAsia="仿宋_GB2312"/>
          <w:b w:val="0"/>
          <w:sz w:val="32"/>
        </w:rPr>
        <w:t>截至2024年12月31日，房屋0.00平方米，价值0.00万元。车辆1辆，价值18.89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825EA8F">
      <w:pPr>
        <w:spacing w:line="640" w:lineRule="exact"/>
        <w:ind w:firstLine="640"/>
        <w:jc w:val="both"/>
        <w:outlineLvl w:val="2"/>
      </w:pPr>
      <w:r>
        <w:rPr>
          <w:rFonts w:ascii="黑体" w:hAnsi="黑体" w:eastAsia="黑体"/>
          <w:sz w:val="32"/>
        </w:rPr>
        <w:t>十一、预算绩效的情况说明</w:t>
      </w:r>
    </w:p>
    <w:p w14:paraId="065E1F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根据预算绩效管理要求，本单位2024年度预算绩效管理形成整体支出绩效自评表1个，全年预算总额335.85万元，实际执行总额335.85万元；预算绩效评价项目2个，全年预算数7.04</w:t>
      </w:r>
      <w:r>
        <w:rPr>
          <w:rFonts w:ascii="仿宋_GB2312" w:hAnsi="仿宋_GB2312" w:eastAsia="仿宋_GB2312"/>
          <w:b w:val="0"/>
          <w:spacing w:val="6"/>
          <w:sz w:val="32"/>
        </w:rPr>
        <w:t>万元，全年执行数6.92万元。预算绩效管理取得的成效：一是2024年托里县医疗保障局5名公益性岗位人员，主要负责办公室征缴、财务、清洁卫生等工作，促进单位业务全面开展。2024年财政局拨付就业补助资金3.92万元，用于支付公益性岗位人员社保补贴（养老、失业、医疗）。该项目解决了5名就业困难人员的再就业问题，加强公益性岗位管理，提高公益性岗位的使用效果；二是2024年自治区全民参保及医疗服务补助经费，用于医疗保险专项业务、全民参保计划实施等经费支出，有效提高医疗机构保险服务质量、规范医疗服务行为、保障参保人员权益、提升基金使用效率，规范协议管理等工作。发现的问题及原因：一是绩效评价个性指标设计存在难度，没有针对性较强的个性评价指标体系可供借鉴，现有状况不能满足目前工作开展需要；二是项目人员业务能力有待进一步提高。由于预算绩效管理工作开展时间较短，加上缺乏系统的培训，负责项目人员对预算绩效管理认识不够到位、理解不够充分，对预算绩效管理业务不够了解、不够熟悉，对工作重点把握不好，业务能力有待进一步增强。下一步改进措施：一是加强对项目工作的认识，便于及时发现项目运行过程中出现的问题并加以改进。严格按照财务管理制度实施，加强项目管理和监督，确保项目实施规范；二是加强监督，对日常工作加强监督规范，防止在项目执行过程中出现偏差，进一步完善财务工作，专款专用，严格按照上级文件要求使用资金，做到专款专用。具体附整体支出绩效自</w:t>
      </w:r>
      <w:r>
        <w:rPr>
          <w:rFonts w:ascii="仿宋_GB2312" w:hAnsi="仿宋_GB2312" w:eastAsia="仿宋_GB2312"/>
          <w:b w:val="0"/>
          <w:spacing w:val="-6"/>
          <w:sz w:val="32"/>
        </w:rPr>
        <w:t>评表，项目支出绩效自评表</w:t>
      </w:r>
      <w:r>
        <w:rPr>
          <w:rFonts w:ascii="仿宋_GB2312" w:hAnsi="仿宋_GB2312" w:eastAsia="仿宋_GB2312"/>
          <w:b w:val="0"/>
          <w:sz w:val="32"/>
        </w:rPr>
        <w:t>和评价报告。</w:t>
      </w:r>
    </w:p>
    <w:p w14:paraId="26EE858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5CB5F19">
        <w:tc>
          <w:tcPr>
            <w:tcW w:w="8840" w:type="dxa"/>
            <w:gridSpan w:val="8"/>
            <w:vAlign w:val="center"/>
          </w:tcPr>
          <w:p w14:paraId="5D403B52">
            <w:pPr>
              <w:jc w:val="center"/>
            </w:pPr>
            <w:r>
              <w:rPr>
                <w:rFonts w:ascii="宋体" w:hAnsi="宋体" w:eastAsia="宋体"/>
                <w:sz w:val="24"/>
              </w:rPr>
              <w:t>单位整体支出绩效自评表</w:t>
            </w:r>
          </w:p>
        </w:tc>
      </w:tr>
      <w:tr w14:paraId="00E93E7A">
        <w:tblPrEx>
          <w:tblCellMar>
            <w:top w:w="0" w:type="dxa"/>
            <w:left w:w="108" w:type="dxa"/>
            <w:bottom w:w="0" w:type="dxa"/>
            <w:right w:w="108" w:type="dxa"/>
          </w:tblCellMar>
        </w:tblPrEx>
        <w:tc>
          <w:tcPr>
            <w:tcW w:w="8840" w:type="dxa"/>
            <w:gridSpan w:val="8"/>
            <w:vAlign w:val="center"/>
          </w:tcPr>
          <w:p w14:paraId="320A5427">
            <w:pPr>
              <w:jc w:val="center"/>
            </w:pPr>
            <w:r>
              <w:rPr>
                <w:rFonts w:ascii="宋体" w:hAnsi="宋体" w:eastAsia="宋体"/>
                <w:sz w:val="24"/>
              </w:rPr>
              <w:t>（2024年度）</w:t>
            </w:r>
          </w:p>
        </w:tc>
      </w:tr>
      <w:tr w14:paraId="0295474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D88B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AC653">
            <w:pPr>
              <w:jc w:val="center"/>
            </w:pPr>
            <w:r>
              <w:rPr>
                <w:rFonts w:ascii="宋体" w:hAnsi="宋体" w:eastAsia="宋体"/>
                <w:sz w:val="16"/>
              </w:rPr>
              <w:t>托里县医疗保障局</w:t>
            </w:r>
          </w:p>
        </w:tc>
      </w:tr>
      <w:tr w14:paraId="6E3EF2F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16B0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0BA1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7B4A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67CEE">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2C3B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9F58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9103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80243">
            <w:pPr>
              <w:jc w:val="center"/>
            </w:pPr>
            <w:r>
              <w:rPr>
                <w:rFonts w:ascii="宋体" w:hAnsi="宋体" w:eastAsia="宋体"/>
                <w:sz w:val="16"/>
              </w:rPr>
              <w:t>得分</w:t>
            </w:r>
          </w:p>
        </w:tc>
      </w:tr>
      <w:tr w14:paraId="2B83CF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BC6C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B988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6A49B">
            <w:pPr>
              <w:jc w:val="center"/>
            </w:pPr>
            <w:r>
              <w:rPr>
                <w:rFonts w:ascii="宋体" w:hAnsi="宋体" w:eastAsia="宋体"/>
                <w:sz w:val="16"/>
              </w:rPr>
              <w:t>315.79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C91A1">
            <w:pPr>
              <w:jc w:val="center"/>
            </w:pPr>
            <w:r>
              <w:rPr>
                <w:rFonts w:ascii="宋体" w:hAnsi="宋体" w:eastAsia="宋体"/>
                <w:sz w:val="16"/>
              </w:rPr>
              <w:t>335.85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66F8F">
            <w:pPr>
              <w:jc w:val="center"/>
            </w:pPr>
            <w:r>
              <w:rPr>
                <w:rFonts w:ascii="宋体" w:hAnsi="宋体" w:eastAsia="宋体"/>
                <w:sz w:val="16"/>
              </w:rPr>
              <w:t>335.85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6330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51BE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D24A5">
            <w:pPr>
              <w:jc w:val="center"/>
            </w:pPr>
            <w:r>
              <w:rPr>
                <w:rFonts w:ascii="宋体" w:hAnsi="宋体" w:eastAsia="宋体"/>
                <w:sz w:val="16"/>
              </w:rPr>
              <w:t>10</w:t>
            </w:r>
          </w:p>
        </w:tc>
      </w:tr>
      <w:tr w14:paraId="35026A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85E0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DD8A0">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43C8F">
            <w:pPr>
              <w:jc w:val="center"/>
            </w:pPr>
            <w:r>
              <w:rPr>
                <w:rFonts w:ascii="宋体" w:hAnsi="宋体" w:eastAsia="宋体"/>
                <w:sz w:val="16"/>
              </w:rPr>
              <w:t>5.55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A45CF">
            <w:pPr>
              <w:jc w:val="center"/>
            </w:pPr>
            <w:r>
              <w:rPr>
                <w:rFonts w:ascii="宋体" w:hAnsi="宋体" w:eastAsia="宋体"/>
                <w:sz w:val="16"/>
              </w:rPr>
              <w:t>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AB975">
            <w:pPr>
              <w:jc w:val="center"/>
            </w:pPr>
            <w:r>
              <w:rPr>
                <w:rFonts w:ascii="宋体" w:hAnsi="宋体" w:eastAsia="宋体"/>
                <w:sz w:val="16"/>
              </w:rPr>
              <w:t>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DDF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07C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E30BE">
            <w:pPr>
              <w:jc w:val="center"/>
            </w:pPr>
            <w:r>
              <w:rPr>
                <w:rFonts w:ascii="宋体" w:hAnsi="宋体" w:eastAsia="宋体"/>
                <w:sz w:val="16"/>
              </w:rPr>
              <w:t>-</w:t>
            </w:r>
          </w:p>
        </w:tc>
      </w:tr>
      <w:tr w14:paraId="501677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93D5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5E246">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49EA0">
            <w:pPr>
              <w:jc w:val="center"/>
            </w:pPr>
            <w:r>
              <w:rPr>
                <w:rFonts w:ascii="宋体" w:hAnsi="宋体" w:eastAsia="宋体"/>
                <w:sz w:val="16"/>
              </w:rPr>
              <w:t>310.24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08C76">
            <w:pPr>
              <w:jc w:val="center"/>
            </w:pPr>
            <w:r>
              <w:rPr>
                <w:rFonts w:ascii="宋体" w:hAnsi="宋体" w:eastAsia="宋体"/>
                <w:sz w:val="16"/>
              </w:rPr>
              <w:t>328.93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AB5F3">
            <w:pPr>
              <w:jc w:val="center"/>
            </w:pPr>
            <w:r>
              <w:rPr>
                <w:rFonts w:ascii="宋体" w:hAnsi="宋体" w:eastAsia="宋体"/>
                <w:sz w:val="16"/>
              </w:rPr>
              <w:t>328.93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E5B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4A6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08107">
            <w:pPr>
              <w:jc w:val="center"/>
            </w:pPr>
            <w:r>
              <w:rPr>
                <w:rFonts w:ascii="宋体" w:hAnsi="宋体" w:eastAsia="宋体"/>
                <w:sz w:val="16"/>
              </w:rPr>
              <w:t>-</w:t>
            </w:r>
          </w:p>
        </w:tc>
      </w:tr>
      <w:tr w14:paraId="3F35A6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D78A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761D2">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7D40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4EDC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164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E44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475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8E5DA">
            <w:pPr>
              <w:jc w:val="center"/>
            </w:pPr>
            <w:r>
              <w:rPr>
                <w:rFonts w:ascii="宋体" w:hAnsi="宋体" w:eastAsia="宋体"/>
                <w:sz w:val="16"/>
              </w:rPr>
              <w:t>-</w:t>
            </w:r>
          </w:p>
        </w:tc>
      </w:tr>
      <w:tr w14:paraId="09A7082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ACC5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60B15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1F5293">
            <w:pPr>
              <w:jc w:val="center"/>
            </w:pPr>
            <w:r>
              <w:rPr>
                <w:rFonts w:ascii="宋体" w:hAnsi="宋体" w:eastAsia="宋体"/>
                <w:sz w:val="16"/>
              </w:rPr>
              <w:t>实际完成情况</w:t>
            </w:r>
          </w:p>
        </w:tc>
      </w:tr>
      <w:tr w14:paraId="7B313D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F2B84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5B5003">
            <w:pPr>
              <w:jc w:val="both"/>
            </w:pPr>
            <w:r>
              <w:rPr>
                <w:rFonts w:ascii="宋体" w:hAnsi="宋体" w:eastAsia="宋体"/>
                <w:sz w:val="16"/>
              </w:rPr>
              <w:t>1.积极推进全民参保计划，巩固参保率，确保基本医疗保险参保率在95%以上；2.对新疆户籍的居民</w:t>
            </w:r>
            <w:r>
              <w:rPr>
                <w:rFonts w:hint="eastAsia" w:ascii="宋体" w:hAnsi="宋体"/>
                <w:sz w:val="16"/>
                <w:lang w:eastAsia="zh-CN"/>
              </w:rPr>
              <w:t>，为</w:t>
            </w:r>
            <w:r>
              <w:rPr>
                <w:rFonts w:ascii="宋体" w:hAnsi="宋体" w:eastAsia="宋体"/>
                <w:sz w:val="16"/>
              </w:rPr>
              <w:t>参加自治区城镇职工和城乡居民基本医疗保险的非新疆户籍居民和援疆工作人员提供保障；3,</w:t>
            </w:r>
            <w:r>
              <w:rPr>
                <w:rFonts w:hint="eastAsia" w:ascii="宋体" w:hAnsi="宋体"/>
                <w:sz w:val="16"/>
                <w:lang w:eastAsia="zh-CN"/>
              </w:rPr>
              <w:t>切实</w:t>
            </w:r>
            <w:r>
              <w:rPr>
                <w:rFonts w:ascii="宋体" w:hAnsi="宋体" w:eastAsia="宋体"/>
                <w:sz w:val="16"/>
              </w:rPr>
              <w:t>保障离退休人员的医疗费用，确保离休人员及时享受医保待遇；4.持续实施重特大疾病医疗救助、强化医疗救助规范管理</w:t>
            </w:r>
            <w:r>
              <w:rPr>
                <w:rFonts w:hint="eastAsia" w:ascii="宋体" w:hAnsi="宋体"/>
                <w:sz w:val="16"/>
                <w:lang w:eastAsia="zh-CN"/>
              </w:rPr>
              <w:t>，为</w:t>
            </w:r>
            <w:r>
              <w:rPr>
                <w:rFonts w:ascii="宋体" w:hAnsi="宋体" w:eastAsia="宋体"/>
                <w:sz w:val="16"/>
              </w:rPr>
              <w:t>解决参保人员基本医疗保险最高支付限额以上的医疗费用提供资金保障，减轻参保人员就医负担，增进民生福祉，维护社会和谐稳定。城乡居民基本医疗保险政策范围内住院费用支付比例达到60%以上。对医保业务档案实现全面的数字化，切实提高两定机构医疗保险服务质量；5.保证县医保局医疗保障管理顺畅，确保医疗保险代办员经费及医疗保险全民参保计划实施项目顺利开展。药品集中带量采购促参保群众看病不再贵，全县共采购药品1566种，网采购达到99%。其中确定药品集中采购1531种，回款率87%；6.强化医保基金监管，对61家定点医药机构采用源头，日常，重点监管等相结合的方式进行检查，进一步保障和维护了医保基金的</w:t>
            </w:r>
            <w:r>
              <w:rPr>
                <w:rFonts w:hint="eastAsia" w:ascii="宋体" w:hAnsi="宋体"/>
                <w:sz w:val="16"/>
                <w:lang w:eastAsia="zh-CN"/>
              </w:rPr>
              <w:t>安全运</w:t>
            </w:r>
            <w:r>
              <w:rPr>
                <w:rFonts w:ascii="宋体" w:hAnsi="宋体" w:eastAsia="宋体"/>
                <w:sz w:val="16"/>
              </w:rPr>
              <w:t>行，严厉打击了欺骗骗保行为，全力守护人民群众的“看病钱”，“救命钱”；7.持续抓好医保经办服务能力提升。继续实施县域内定点医疗机构住院费用“一站式”“一单清”“一窗口”即时结算，进一步方便群众就医。</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6D47FB">
            <w:pPr>
              <w:jc w:val="both"/>
            </w:pPr>
            <w:r>
              <w:rPr>
                <w:rFonts w:ascii="宋体" w:hAnsi="宋体" w:eastAsia="宋体"/>
                <w:sz w:val="16"/>
              </w:rPr>
              <w:t>1.积极推进全民参保计划，巩固参保率，基本医疗保险参保率在95%以上；2.对新疆户籍的居民</w:t>
            </w:r>
            <w:r>
              <w:rPr>
                <w:rFonts w:hint="eastAsia" w:ascii="宋体" w:hAnsi="宋体"/>
                <w:sz w:val="16"/>
                <w:lang w:eastAsia="zh-CN"/>
              </w:rPr>
              <w:t>，为</w:t>
            </w:r>
            <w:r>
              <w:rPr>
                <w:rFonts w:ascii="宋体" w:hAnsi="宋体" w:eastAsia="宋体"/>
                <w:sz w:val="16"/>
              </w:rPr>
              <w:t>参加自治区城镇职工和城乡居民基本医疗保险的非新疆户籍居民和援疆工作人员提供了保障；3,</w:t>
            </w:r>
            <w:r>
              <w:rPr>
                <w:rFonts w:hint="eastAsia" w:ascii="宋体" w:hAnsi="宋体"/>
                <w:sz w:val="16"/>
                <w:lang w:eastAsia="zh-CN"/>
              </w:rPr>
              <w:t>切实</w:t>
            </w:r>
            <w:r>
              <w:rPr>
                <w:rFonts w:ascii="宋体" w:hAnsi="宋体" w:eastAsia="宋体"/>
                <w:sz w:val="16"/>
              </w:rPr>
              <w:t>保障离退休人员的医疗费用，确保离休人员及时享受医保待遇；4.持续实施重特大疾病医疗救助、强化医疗救助规范管理</w:t>
            </w:r>
            <w:r>
              <w:rPr>
                <w:rFonts w:hint="eastAsia" w:ascii="宋体" w:hAnsi="宋体"/>
                <w:sz w:val="16"/>
                <w:lang w:eastAsia="zh-CN"/>
              </w:rPr>
              <w:t>，为</w:t>
            </w:r>
            <w:r>
              <w:rPr>
                <w:rFonts w:ascii="宋体" w:hAnsi="宋体" w:eastAsia="宋体"/>
                <w:sz w:val="16"/>
              </w:rPr>
              <w:t>解决参保人员基本医疗保险最高支付限额以上的医疗费用提供资金保障，减轻参保人员就医负担，增进民生福祉，维护社会和谐稳定。城乡居民基本医疗保险政策范围内住院费用支付比例达到60%以上；5.保证县医保局医疗保障管理顺畅，确保医疗保险代办员经费及医疗保险全民参保计划实施项目顺利开展。6.强化医保基金监管，2024年对61家定点医药机构采用源头，日常，重点监管等相结合的方式进行检查，严厉打击了欺骗骗保行为，全力守护人民群众的“看病钱”，“救命钱”；7.持续抓好医保经办服务能力提升。2024年药品集中采购品种达到473种，重点救助对象符合规定的住院医疗费用救助比例达到70%，定点医药机构检查达到61家，基本医疗保险参保率达到95%以上。</w:t>
            </w:r>
          </w:p>
        </w:tc>
      </w:tr>
      <w:tr w14:paraId="0C4608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8A6E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7732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7D54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D186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9025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64B1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50CF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361E9">
            <w:pPr>
              <w:jc w:val="center"/>
            </w:pPr>
            <w:r>
              <w:rPr>
                <w:rFonts w:ascii="宋体" w:hAnsi="宋体" w:eastAsia="宋体"/>
                <w:sz w:val="16"/>
              </w:rPr>
              <w:t>得分</w:t>
            </w:r>
          </w:p>
        </w:tc>
      </w:tr>
      <w:tr w14:paraId="2294A4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5D14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FDE6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4111E">
            <w:pPr>
              <w:jc w:val="center"/>
            </w:pPr>
            <w:r>
              <w:rPr>
                <w:rFonts w:ascii="宋体" w:hAnsi="宋体" w:eastAsia="宋体"/>
                <w:sz w:val="16"/>
              </w:rPr>
              <w:t>药品集中带量采购品种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24F1F">
            <w:pPr>
              <w:jc w:val="center"/>
            </w:pPr>
            <w:r>
              <w:rPr>
                <w:rFonts w:ascii="宋体" w:hAnsi="宋体" w:eastAsia="宋体"/>
                <w:sz w:val="16"/>
              </w:rPr>
              <w:t>&gt;=473种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EF1E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9696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34924">
            <w:pPr>
              <w:jc w:val="center"/>
            </w:pPr>
            <w:r>
              <w:rPr>
                <w:rFonts w:ascii="宋体" w:hAnsi="宋体" w:eastAsia="宋体"/>
                <w:sz w:val="16"/>
              </w:rPr>
              <w:t>473种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AFBDC">
            <w:pPr>
              <w:jc w:val="center"/>
            </w:pPr>
            <w:r>
              <w:rPr>
                <w:rFonts w:ascii="宋体" w:hAnsi="宋体" w:eastAsia="宋体"/>
                <w:sz w:val="16"/>
              </w:rPr>
              <w:t>20</w:t>
            </w:r>
          </w:p>
        </w:tc>
      </w:tr>
      <w:tr w14:paraId="38563A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69E19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E458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E89BB">
            <w:pPr>
              <w:jc w:val="center"/>
            </w:pPr>
            <w:r>
              <w:rPr>
                <w:rFonts w:ascii="宋体" w:hAnsi="宋体" w:eastAsia="宋体"/>
                <w:sz w:val="16"/>
              </w:rPr>
              <w:t>监管检查定点医疗机构数量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29182">
            <w:pPr>
              <w:jc w:val="center"/>
            </w:pPr>
            <w:r>
              <w:rPr>
                <w:rFonts w:ascii="宋体" w:hAnsi="宋体" w:eastAsia="宋体"/>
                <w:sz w:val="16"/>
              </w:rPr>
              <w:t>&gt;=61家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0C97E">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A66A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75E79">
            <w:pPr>
              <w:jc w:val="center"/>
            </w:pPr>
            <w:r>
              <w:rPr>
                <w:rFonts w:ascii="宋体" w:hAnsi="宋体" w:eastAsia="宋体"/>
                <w:sz w:val="16"/>
              </w:rPr>
              <w:t>61家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6AC14">
            <w:pPr>
              <w:jc w:val="center"/>
            </w:pPr>
            <w:r>
              <w:rPr>
                <w:rFonts w:ascii="宋体" w:hAnsi="宋体" w:eastAsia="宋体"/>
                <w:sz w:val="16"/>
              </w:rPr>
              <w:t>10</w:t>
            </w:r>
          </w:p>
        </w:tc>
      </w:tr>
      <w:tr w14:paraId="7BBEB2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B61B3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AD9D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D128B">
            <w:pPr>
              <w:jc w:val="center"/>
            </w:pPr>
            <w:r>
              <w:rPr>
                <w:rFonts w:ascii="宋体" w:hAnsi="宋体" w:eastAsia="宋体"/>
                <w:sz w:val="16"/>
              </w:rPr>
              <w:t>医保经办业务服务数量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57615">
            <w:pPr>
              <w:jc w:val="center"/>
            </w:pPr>
            <w:r>
              <w:rPr>
                <w:rFonts w:ascii="宋体" w:hAnsi="宋体" w:eastAsia="宋体"/>
                <w:sz w:val="16"/>
              </w:rPr>
              <w:t>&gt;=10000项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55694">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ADB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83F13">
            <w:pPr>
              <w:jc w:val="center"/>
            </w:pPr>
            <w:r>
              <w:rPr>
                <w:rFonts w:ascii="宋体" w:hAnsi="宋体" w:eastAsia="宋体"/>
                <w:sz w:val="16"/>
              </w:rPr>
              <w:t>10000项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CCA22">
            <w:pPr>
              <w:jc w:val="center"/>
            </w:pPr>
            <w:r>
              <w:rPr>
                <w:rFonts w:ascii="宋体" w:hAnsi="宋体" w:eastAsia="宋体"/>
                <w:sz w:val="16"/>
              </w:rPr>
              <w:t>10</w:t>
            </w:r>
          </w:p>
        </w:tc>
      </w:tr>
      <w:tr w14:paraId="39685F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FEF60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C1E8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4B99E">
            <w:pPr>
              <w:jc w:val="center"/>
            </w:pPr>
            <w:r>
              <w:rPr>
                <w:rFonts w:ascii="宋体" w:hAnsi="宋体" w:eastAsia="宋体"/>
                <w:sz w:val="16"/>
              </w:rPr>
              <w:t>重点救助对象符合规定的住院医疗费用救助比例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07BA3">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4DDF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D51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BF27A">
            <w:pPr>
              <w:jc w:val="center"/>
            </w:pPr>
            <w:r>
              <w:rPr>
                <w:rFonts w:ascii="宋体" w:hAnsi="宋体" w:eastAsia="宋体"/>
                <w:sz w:val="16"/>
              </w:rPr>
              <w: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E9093">
            <w:pPr>
              <w:jc w:val="center"/>
            </w:pPr>
            <w:r>
              <w:rPr>
                <w:rFonts w:ascii="宋体" w:hAnsi="宋体" w:eastAsia="宋体"/>
                <w:sz w:val="16"/>
              </w:rPr>
              <w:t>10</w:t>
            </w:r>
          </w:p>
        </w:tc>
      </w:tr>
      <w:tr w14:paraId="28086D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D903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7B82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2ECA8">
            <w:pPr>
              <w:jc w:val="center"/>
            </w:pPr>
            <w:r>
              <w:rPr>
                <w:rFonts w:ascii="宋体" w:hAnsi="宋体" w:eastAsia="宋体"/>
                <w:sz w:val="16"/>
              </w:rPr>
              <w:t>城乡居民基本医疗保险政策范围内住院费用支付比例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30E02">
            <w:pPr>
              <w:jc w:val="center"/>
            </w:pPr>
            <w:r>
              <w:rPr>
                <w:rFonts w:ascii="宋体" w:hAnsi="宋体" w:eastAsia="宋体"/>
                <w:sz w:val="16"/>
              </w:rPr>
              <w:t>&gt;=60%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6D774">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A010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0FE26">
            <w:pPr>
              <w:jc w:val="center"/>
            </w:pPr>
            <w:r>
              <w:rPr>
                <w:rFonts w:ascii="宋体" w:hAnsi="宋体" w:eastAsia="宋体"/>
                <w:sz w:val="16"/>
              </w:rPr>
              <w: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6E4E9">
            <w:pPr>
              <w:jc w:val="center"/>
            </w:pPr>
            <w:r>
              <w:rPr>
                <w:rFonts w:ascii="宋体" w:hAnsi="宋体" w:eastAsia="宋体"/>
                <w:sz w:val="16"/>
              </w:rPr>
              <w:t>10</w:t>
            </w:r>
          </w:p>
        </w:tc>
      </w:tr>
      <w:tr w14:paraId="4CEECC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9D3F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1D8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B30DC">
            <w:pPr>
              <w:jc w:val="center"/>
            </w:pPr>
            <w:r>
              <w:rPr>
                <w:rFonts w:ascii="宋体" w:hAnsi="宋体" w:eastAsia="宋体"/>
                <w:sz w:val="16"/>
              </w:rPr>
              <w:t>全县支付改革方式覆盖率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D3DC0">
            <w:pPr>
              <w:jc w:val="center"/>
            </w:pPr>
            <w:r>
              <w:rPr>
                <w:rFonts w:ascii="宋体" w:hAnsi="宋体" w:eastAsia="宋体"/>
                <w:sz w:val="16"/>
              </w:rPr>
              <w:t>&gt;=92%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0D31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FBDC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C866B">
            <w:pPr>
              <w:jc w:val="center"/>
            </w:pPr>
            <w:r>
              <w:rPr>
                <w:rFonts w:ascii="宋体" w:hAnsi="宋体" w:eastAsia="宋体"/>
                <w:sz w:val="16"/>
              </w:rPr>
              <w:t>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93B73">
            <w:pPr>
              <w:jc w:val="center"/>
            </w:pPr>
            <w:r>
              <w:rPr>
                <w:rFonts w:ascii="宋体" w:hAnsi="宋体" w:eastAsia="宋体"/>
                <w:sz w:val="16"/>
              </w:rPr>
              <w:t>15</w:t>
            </w:r>
          </w:p>
        </w:tc>
      </w:tr>
      <w:tr w14:paraId="15AE26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23A74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4FF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69E48">
            <w:pPr>
              <w:jc w:val="center"/>
            </w:pPr>
            <w:r>
              <w:rPr>
                <w:rFonts w:ascii="宋体" w:hAnsi="宋体" w:eastAsia="宋体"/>
                <w:sz w:val="16"/>
              </w:rPr>
              <w:t>基本医疗保险参保率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286C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B472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919F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127E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49312">
            <w:pPr>
              <w:jc w:val="center"/>
            </w:pPr>
            <w:r>
              <w:rPr>
                <w:rFonts w:ascii="宋体" w:hAnsi="宋体" w:eastAsia="宋体"/>
                <w:sz w:val="16"/>
              </w:rPr>
              <w:t>15</w:t>
            </w:r>
          </w:p>
        </w:tc>
      </w:tr>
    </w:tbl>
    <w:p w14:paraId="62E165ED">
      <w:r>
        <w:br w:type="page"/>
      </w:r>
    </w:p>
    <w:tbl>
      <w:tblPr>
        <w:tblStyle w:val="9"/>
        <w:tblW w:w="0" w:type="auto"/>
        <w:tblInd w:w="0" w:type="dxa"/>
        <w:tblLayout w:type="autofit"/>
        <w:tblCellMar>
          <w:top w:w="0" w:type="dxa"/>
          <w:left w:w="108" w:type="dxa"/>
          <w:bottom w:w="0" w:type="dxa"/>
          <w:right w:w="108" w:type="dxa"/>
        </w:tblCellMar>
      </w:tblPr>
      <w:tblGrid>
        <w:gridCol w:w="609"/>
        <w:gridCol w:w="573"/>
        <w:gridCol w:w="574"/>
        <w:gridCol w:w="574"/>
        <w:gridCol w:w="936"/>
        <w:gridCol w:w="574"/>
        <w:gridCol w:w="776"/>
        <w:gridCol w:w="592"/>
        <w:gridCol w:w="574"/>
        <w:gridCol w:w="574"/>
        <w:gridCol w:w="856"/>
        <w:gridCol w:w="610"/>
        <w:gridCol w:w="628"/>
        <w:gridCol w:w="610"/>
      </w:tblGrid>
      <w:tr w14:paraId="4452804C">
        <w:tblPrEx>
          <w:tblCellMar>
            <w:top w:w="0" w:type="dxa"/>
            <w:left w:w="108" w:type="dxa"/>
            <w:bottom w:w="0" w:type="dxa"/>
            <w:right w:w="108" w:type="dxa"/>
          </w:tblCellMar>
        </w:tblPrEx>
        <w:tc>
          <w:tcPr>
            <w:tcW w:w="8848" w:type="dxa"/>
            <w:gridSpan w:val="14"/>
            <w:vAlign w:val="center"/>
          </w:tcPr>
          <w:p w14:paraId="36F7DE94">
            <w:pPr>
              <w:jc w:val="center"/>
            </w:pPr>
            <w:r>
              <w:rPr>
                <w:rFonts w:ascii="宋体" w:hAnsi="宋体" w:eastAsia="宋体"/>
                <w:sz w:val="24"/>
              </w:rPr>
              <w:t>项目支出绩效自评表</w:t>
            </w:r>
          </w:p>
        </w:tc>
      </w:tr>
      <w:tr w14:paraId="4DAFF918">
        <w:tblPrEx>
          <w:tblCellMar>
            <w:top w:w="0" w:type="dxa"/>
            <w:left w:w="108" w:type="dxa"/>
            <w:bottom w:w="0" w:type="dxa"/>
            <w:right w:w="108" w:type="dxa"/>
          </w:tblCellMar>
        </w:tblPrEx>
        <w:tc>
          <w:tcPr>
            <w:tcW w:w="8848" w:type="dxa"/>
            <w:gridSpan w:val="14"/>
            <w:vAlign w:val="center"/>
          </w:tcPr>
          <w:p w14:paraId="6A1AF142">
            <w:pPr>
              <w:jc w:val="center"/>
            </w:pPr>
            <w:r>
              <w:rPr>
                <w:rFonts w:ascii="宋体" w:hAnsi="宋体" w:eastAsia="宋体"/>
                <w:sz w:val="24"/>
              </w:rPr>
              <w:t>(2024年度)</w:t>
            </w:r>
          </w:p>
        </w:tc>
      </w:tr>
      <w:tr w14:paraId="4F86CE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0C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6D8871">
            <w:pPr>
              <w:jc w:val="center"/>
            </w:pPr>
            <w:r>
              <w:rPr>
                <w:rFonts w:ascii="宋体" w:hAnsi="宋体" w:eastAsia="宋体"/>
                <w:sz w:val="16"/>
              </w:rPr>
              <w:t>2024年中央财政就业补助资金</w:t>
            </w:r>
          </w:p>
        </w:tc>
      </w:tr>
      <w:tr w14:paraId="3CCB21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18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A77FD">
            <w:pPr>
              <w:jc w:val="center"/>
            </w:pPr>
            <w:r>
              <w:rPr>
                <w:rFonts w:ascii="宋体" w:hAnsi="宋体" w:eastAsia="宋体"/>
                <w:sz w:val="16"/>
              </w:rPr>
              <w:t>托里县医疗保障局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DC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F39F1C">
            <w:pPr>
              <w:jc w:val="center"/>
            </w:pPr>
            <w:r>
              <w:rPr>
                <w:rFonts w:ascii="宋体" w:hAnsi="宋体" w:eastAsia="宋体"/>
                <w:sz w:val="16"/>
              </w:rPr>
              <w:t>托里县医疗保障局</w:t>
            </w:r>
          </w:p>
        </w:tc>
      </w:tr>
      <w:tr w14:paraId="3BCC3F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1B0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BA0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99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7A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A04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E08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FD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2F6D">
            <w:pPr>
              <w:jc w:val="center"/>
            </w:pPr>
            <w:r>
              <w:rPr>
                <w:rFonts w:ascii="宋体" w:hAnsi="宋体" w:eastAsia="宋体"/>
                <w:sz w:val="16"/>
              </w:rPr>
              <w:t>得分</w:t>
            </w:r>
          </w:p>
        </w:tc>
      </w:tr>
      <w:tr w14:paraId="53392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33D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89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CFEF1">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4E76E">
            <w:pPr>
              <w:jc w:val="center"/>
            </w:pPr>
            <w:r>
              <w:rPr>
                <w:rFonts w:ascii="宋体" w:hAnsi="宋体" w:eastAsia="宋体"/>
                <w:sz w:val="16"/>
              </w:rPr>
              <w:t>4.04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3FE1B">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8E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6CB1E">
            <w:pPr>
              <w:jc w:val="center"/>
            </w:pPr>
            <w:r>
              <w:rPr>
                <w:rFonts w:ascii="宋体" w:hAnsi="宋体" w:eastAsia="宋体"/>
                <w:sz w:val="16"/>
              </w:rPr>
              <w:t>97.03%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F5E0">
            <w:pPr>
              <w:jc w:val="center"/>
            </w:pPr>
            <w:r>
              <w:rPr>
                <w:rFonts w:ascii="宋体" w:hAnsi="宋体" w:eastAsia="宋体"/>
                <w:sz w:val="16"/>
              </w:rPr>
              <w:t>9.70</w:t>
            </w:r>
          </w:p>
        </w:tc>
      </w:tr>
      <w:tr w14:paraId="2649E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3A6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8BD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2899C">
            <w:pPr>
              <w:jc w:val="center"/>
            </w:pPr>
            <w:r>
              <w:rPr>
                <w:rFonts w:ascii="宋体" w:hAnsi="宋体" w:eastAsia="宋体"/>
                <w:sz w:val="16"/>
              </w:rPr>
              <w:t>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5EFCF">
            <w:pPr>
              <w:jc w:val="center"/>
            </w:pPr>
            <w:r>
              <w:rPr>
                <w:rFonts w:ascii="宋体" w:hAnsi="宋体" w:eastAsia="宋体"/>
                <w:sz w:val="16"/>
              </w:rPr>
              <w:t>4.04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23766">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E03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F3E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0D5C">
            <w:pPr>
              <w:jc w:val="center"/>
            </w:pPr>
            <w:r>
              <w:rPr>
                <w:rFonts w:ascii="宋体" w:hAnsi="宋体" w:eastAsia="宋体"/>
                <w:sz w:val="16"/>
              </w:rPr>
              <w:t>—</w:t>
            </w:r>
          </w:p>
        </w:tc>
      </w:tr>
      <w:tr w14:paraId="35E78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98B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759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081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884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5E6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B52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F94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E95D">
            <w:pPr>
              <w:jc w:val="center"/>
            </w:pPr>
            <w:r>
              <w:rPr>
                <w:rFonts w:ascii="宋体" w:hAnsi="宋体" w:eastAsia="宋体"/>
                <w:sz w:val="16"/>
              </w:rPr>
              <w:t>—</w:t>
            </w:r>
          </w:p>
        </w:tc>
      </w:tr>
      <w:tr w14:paraId="483909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73D3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061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C2746E">
            <w:pPr>
              <w:jc w:val="center"/>
            </w:pPr>
            <w:r>
              <w:rPr>
                <w:rFonts w:ascii="宋体" w:hAnsi="宋体" w:eastAsia="宋体"/>
                <w:sz w:val="16"/>
              </w:rPr>
              <w:t>实际完成情况</w:t>
            </w:r>
          </w:p>
        </w:tc>
      </w:tr>
      <w:tr w14:paraId="2C5B5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677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5B0E9">
            <w:pPr>
              <w:jc w:val="both"/>
            </w:pPr>
            <w:r>
              <w:rPr>
                <w:rFonts w:ascii="宋体" w:hAnsi="宋体" w:eastAsia="宋体"/>
                <w:sz w:val="16"/>
              </w:rPr>
              <w:t>4.04万元用于公益性岗位补贴，核心内容是加强公益性岗位管理，2024年公益性岗位发放工资5人，补贴人数5人，缴费公益性岗位月数12个月，提高公益性岗位的使用效果，扩大社保的覆盖面，加大促进就业专项资金的投入，合理安排促进就业专项资金，此次提前下达的中央就业补助资金预算，确保“老有所养、老有所医”，提高人民群众的幸福感和获得感，保障单位业务全面开展。受益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369252">
            <w:pPr>
              <w:jc w:val="both"/>
            </w:pPr>
            <w:r>
              <w:rPr>
                <w:rFonts w:ascii="宋体" w:hAnsi="宋体" w:eastAsia="宋体"/>
                <w:sz w:val="16"/>
              </w:rPr>
              <w:t>2024年中央财政就业补助资金项目按照计划正常实行，已经完成了公益性岗位补贴人数5人，完成率达到100%，受益人员满意度达到95%。通过对5名公益性岗位人员的社会保险补贴，零就业家庭帮扶率达到98%。</w:t>
            </w:r>
          </w:p>
        </w:tc>
      </w:tr>
      <w:tr w14:paraId="063FF6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B4A0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62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56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2C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662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32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A5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01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89C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4A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0F4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EC9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B3D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F0F0">
            <w:pPr>
              <w:jc w:val="center"/>
            </w:pPr>
            <w:r>
              <w:rPr>
                <w:rFonts w:ascii="宋体" w:hAnsi="宋体" w:eastAsia="宋体"/>
                <w:sz w:val="16"/>
              </w:rPr>
              <w:t>偏差原因分析及改进措施</w:t>
            </w:r>
          </w:p>
        </w:tc>
      </w:tr>
      <w:tr w14:paraId="78017A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3F1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369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57A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A158">
            <w:pPr>
              <w:jc w:val="center"/>
            </w:pPr>
            <w:r>
              <w:rPr>
                <w:rFonts w:ascii="宋体" w:hAnsi="宋体" w:eastAsia="宋体"/>
                <w:sz w:val="16"/>
              </w:rPr>
              <w:t>公益性岗位补贴人数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45C7">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B0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3A67">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70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21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1ED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4EA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4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9F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070F">
            <w:pPr>
              <w:jc w:val="center"/>
            </w:pPr>
          </w:p>
        </w:tc>
      </w:tr>
      <w:tr w14:paraId="718AA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3D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5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46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A344">
            <w:pPr>
              <w:jc w:val="center"/>
            </w:pPr>
            <w:r>
              <w:rPr>
                <w:rFonts w:ascii="宋体" w:hAnsi="宋体" w:eastAsia="宋体"/>
                <w:sz w:val="16"/>
              </w:rPr>
              <w:t>缴费公益性岗位月数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90B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A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F46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4F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8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4E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5A1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DB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25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4CB2">
            <w:pPr>
              <w:jc w:val="center"/>
            </w:pPr>
          </w:p>
        </w:tc>
      </w:tr>
      <w:tr w14:paraId="1C22A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FC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282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23B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BD11">
            <w:pPr>
              <w:jc w:val="center"/>
            </w:pPr>
            <w:r>
              <w:rPr>
                <w:rFonts w:ascii="宋体" w:hAnsi="宋体" w:eastAsia="宋体"/>
                <w:sz w:val="16"/>
              </w:rPr>
              <w:t>社会保险补贴发放率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2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3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B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12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3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91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7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6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40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AA16">
            <w:pPr>
              <w:jc w:val="center"/>
            </w:pPr>
          </w:p>
        </w:tc>
      </w:tr>
      <w:tr w14:paraId="1609E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04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53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B1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6722">
            <w:pPr>
              <w:jc w:val="center"/>
            </w:pPr>
            <w:r>
              <w:rPr>
                <w:rFonts w:ascii="宋体" w:hAnsi="宋体" w:eastAsia="宋体"/>
                <w:sz w:val="16"/>
              </w:rPr>
              <w:t>社会保险资金到位率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0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C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A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4D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60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6A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9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9E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BC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247F">
            <w:pPr>
              <w:jc w:val="center"/>
            </w:pPr>
          </w:p>
        </w:tc>
      </w:tr>
      <w:tr w14:paraId="4FF61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89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940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32C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34EC">
            <w:pPr>
              <w:jc w:val="center"/>
            </w:pPr>
            <w:r>
              <w:rPr>
                <w:rFonts w:ascii="宋体" w:hAnsi="宋体" w:eastAsia="宋体"/>
                <w:sz w:val="16"/>
              </w:rPr>
              <w:t>社会保险资金支付及时率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A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F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E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D1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E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33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50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A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50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7501">
            <w:pPr>
              <w:jc w:val="center"/>
            </w:pPr>
          </w:p>
        </w:tc>
      </w:tr>
      <w:tr w14:paraId="742D8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A6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7A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06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D4C9">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9ED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43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413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4D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89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59A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9F9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F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3E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BB7F">
            <w:pPr>
              <w:jc w:val="center"/>
            </w:pPr>
          </w:p>
        </w:tc>
      </w:tr>
      <w:tr w14:paraId="09D48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03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D1F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BE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4F23">
            <w:pPr>
              <w:jc w:val="center"/>
            </w:pPr>
            <w:r>
              <w:rPr>
                <w:rFonts w:ascii="宋体" w:hAnsi="宋体" w:eastAsia="宋体"/>
                <w:sz w:val="16"/>
              </w:rPr>
              <w:t>人均社保医疗补助金额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5EE5">
            <w:pPr>
              <w:jc w:val="center"/>
            </w:pPr>
            <w:r>
              <w:rPr>
                <w:rFonts w:ascii="宋体" w:hAnsi="宋体" w:eastAsia="宋体"/>
                <w:sz w:val="16"/>
              </w:rPr>
              <w:t>&lt;=1224.76元/人·月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AE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AF6A">
            <w:pPr>
              <w:jc w:val="center"/>
            </w:pPr>
            <w:r>
              <w:rPr>
                <w:rFonts w:ascii="宋体" w:hAnsi="宋体" w:eastAsia="宋体"/>
                <w:sz w:val="16"/>
              </w:rPr>
              <w:t>1120.88元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9C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8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E3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B343">
            <w:pPr>
              <w:jc w:val="center"/>
            </w:pPr>
            <w:r>
              <w:rPr>
                <w:rFonts w:ascii="宋体" w:hAnsi="宋体" w:eastAsia="宋体"/>
                <w:sz w:val="16"/>
              </w:rPr>
              <w:t>=1224.76元/人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94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2A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243C">
            <w:pPr>
              <w:jc w:val="center"/>
            </w:pPr>
          </w:p>
        </w:tc>
      </w:tr>
      <w:tr w14:paraId="144E8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7F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C0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4E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44DB">
            <w:pPr>
              <w:jc w:val="center"/>
            </w:pPr>
            <w:r>
              <w:rPr>
                <w:rFonts w:ascii="宋体" w:hAnsi="宋体" w:eastAsia="宋体"/>
                <w:sz w:val="16"/>
              </w:rPr>
              <w:t>零就业家庭帮扶率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E48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B8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711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3C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AB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D9F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87A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2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82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89CD">
            <w:pPr>
              <w:jc w:val="center"/>
            </w:pPr>
          </w:p>
        </w:tc>
      </w:tr>
      <w:tr w14:paraId="04AD9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954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EB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2B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03E8">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CF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CF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D0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5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51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3B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112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C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A8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991D">
            <w:pPr>
              <w:jc w:val="center"/>
            </w:pPr>
          </w:p>
        </w:tc>
      </w:tr>
      <w:tr w14:paraId="08BCF7C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A933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749B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9F4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6C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B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F629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2A7D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9CC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4898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98CC">
            <w:pPr>
              <w:jc w:val="center"/>
            </w:pPr>
            <w:r>
              <w:rPr>
                <w:rFonts w:ascii="宋体" w:hAnsi="宋体" w:eastAsia="宋体"/>
                <w:sz w:val="16"/>
              </w:rPr>
              <w:t>99.70分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AD21C3"/>
        </w:tc>
      </w:tr>
    </w:tbl>
    <w:p w14:paraId="695D371E">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31"/>
        <w:gridCol w:w="776"/>
        <w:gridCol w:w="622"/>
        <w:gridCol w:w="631"/>
        <w:gridCol w:w="625"/>
        <w:gridCol w:w="622"/>
        <w:gridCol w:w="626"/>
        <w:gridCol w:w="697"/>
        <w:gridCol w:w="629"/>
        <w:gridCol w:w="697"/>
        <w:gridCol w:w="632"/>
      </w:tblGrid>
      <w:tr w14:paraId="2248242C">
        <w:tblPrEx>
          <w:tblCellMar>
            <w:top w:w="0" w:type="dxa"/>
            <w:left w:w="108" w:type="dxa"/>
            <w:bottom w:w="0" w:type="dxa"/>
            <w:right w:w="108" w:type="dxa"/>
          </w:tblCellMar>
        </w:tblPrEx>
        <w:tc>
          <w:tcPr>
            <w:tcW w:w="8848" w:type="dxa"/>
            <w:gridSpan w:val="14"/>
            <w:vAlign w:val="center"/>
          </w:tcPr>
          <w:p w14:paraId="5595DE60">
            <w:pPr>
              <w:jc w:val="center"/>
            </w:pPr>
            <w:r>
              <w:rPr>
                <w:rFonts w:ascii="宋体" w:hAnsi="宋体" w:eastAsia="宋体"/>
                <w:sz w:val="24"/>
              </w:rPr>
              <w:t>项目支出绩效自评表</w:t>
            </w:r>
          </w:p>
        </w:tc>
      </w:tr>
      <w:tr w14:paraId="429E0B0F">
        <w:tblPrEx>
          <w:tblCellMar>
            <w:top w:w="0" w:type="dxa"/>
            <w:left w:w="108" w:type="dxa"/>
            <w:bottom w:w="0" w:type="dxa"/>
            <w:right w:w="108" w:type="dxa"/>
          </w:tblCellMar>
        </w:tblPrEx>
        <w:tc>
          <w:tcPr>
            <w:tcW w:w="8848" w:type="dxa"/>
            <w:gridSpan w:val="14"/>
            <w:vAlign w:val="center"/>
          </w:tcPr>
          <w:p w14:paraId="0D1CDD48">
            <w:pPr>
              <w:jc w:val="center"/>
            </w:pPr>
            <w:r>
              <w:rPr>
                <w:rFonts w:ascii="宋体" w:hAnsi="宋体" w:eastAsia="宋体"/>
                <w:sz w:val="24"/>
              </w:rPr>
              <w:t>(2024年度)</w:t>
            </w:r>
          </w:p>
        </w:tc>
      </w:tr>
      <w:tr w14:paraId="7F007A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74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B0F457">
            <w:pPr>
              <w:jc w:val="center"/>
            </w:pPr>
            <w:r>
              <w:rPr>
                <w:rFonts w:ascii="宋体" w:hAnsi="宋体" w:eastAsia="宋体"/>
                <w:sz w:val="16"/>
              </w:rPr>
              <w:t>2024年自治区财政全民参保及医疗服务经费补助资金</w:t>
            </w:r>
          </w:p>
        </w:tc>
      </w:tr>
      <w:tr w14:paraId="12CE36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2E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FB464">
            <w:pPr>
              <w:jc w:val="center"/>
            </w:pPr>
            <w:r>
              <w:rPr>
                <w:rFonts w:ascii="宋体" w:hAnsi="宋体" w:eastAsia="宋体"/>
                <w:sz w:val="16"/>
              </w:rPr>
              <w:t>托里县医疗保障局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0C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C547CB">
            <w:pPr>
              <w:jc w:val="center"/>
            </w:pPr>
            <w:r>
              <w:rPr>
                <w:rFonts w:ascii="宋体" w:hAnsi="宋体" w:eastAsia="宋体"/>
                <w:sz w:val="16"/>
              </w:rPr>
              <w:t>托里县医疗保障局</w:t>
            </w:r>
          </w:p>
        </w:tc>
      </w:tr>
      <w:tr w14:paraId="6165A9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BB6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C99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375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A61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86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02A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DBB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4282">
            <w:pPr>
              <w:jc w:val="center"/>
            </w:pPr>
            <w:r>
              <w:rPr>
                <w:rFonts w:ascii="宋体" w:hAnsi="宋体" w:eastAsia="宋体"/>
                <w:sz w:val="16"/>
              </w:rPr>
              <w:t>得分</w:t>
            </w:r>
          </w:p>
        </w:tc>
      </w:tr>
      <w:tr w14:paraId="45BF3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B65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E3F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5C2D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55DE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D47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6AA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9D7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DCC9">
            <w:pPr>
              <w:jc w:val="center"/>
            </w:pPr>
            <w:r>
              <w:rPr>
                <w:rFonts w:ascii="宋体" w:hAnsi="宋体" w:eastAsia="宋体"/>
                <w:sz w:val="16"/>
              </w:rPr>
              <w:t>10.00</w:t>
            </w:r>
          </w:p>
        </w:tc>
      </w:tr>
      <w:tr w14:paraId="23927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582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25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47FD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8D64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0E2F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473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E8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F6EB">
            <w:pPr>
              <w:jc w:val="center"/>
            </w:pPr>
            <w:r>
              <w:rPr>
                <w:rFonts w:ascii="宋体" w:hAnsi="宋体" w:eastAsia="宋体"/>
                <w:sz w:val="16"/>
              </w:rPr>
              <w:t>—</w:t>
            </w:r>
          </w:p>
        </w:tc>
      </w:tr>
      <w:tr w14:paraId="76FDF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AF2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2D0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20E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5E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230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9C6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1A1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D51F">
            <w:pPr>
              <w:jc w:val="center"/>
            </w:pPr>
            <w:r>
              <w:rPr>
                <w:rFonts w:ascii="宋体" w:hAnsi="宋体" w:eastAsia="宋体"/>
                <w:sz w:val="16"/>
              </w:rPr>
              <w:t>—</w:t>
            </w:r>
          </w:p>
        </w:tc>
      </w:tr>
      <w:tr w14:paraId="4D8BA3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08CF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6E9D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CF92F7">
            <w:pPr>
              <w:jc w:val="center"/>
            </w:pPr>
            <w:r>
              <w:rPr>
                <w:rFonts w:ascii="宋体" w:hAnsi="宋体" w:eastAsia="宋体"/>
                <w:sz w:val="16"/>
              </w:rPr>
              <w:t>实际完成情况</w:t>
            </w:r>
          </w:p>
        </w:tc>
      </w:tr>
      <w:tr w14:paraId="6B4FE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DF0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9DB93">
            <w:pPr>
              <w:jc w:val="both"/>
            </w:pPr>
            <w:r>
              <w:rPr>
                <w:rFonts w:ascii="宋体" w:hAnsi="宋体" w:eastAsia="宋体"/>
                <w:sz w:val="16"/>
              </w:rPr>
              <w:t>2024年自治区财政全民参保及医疗服务补助资金项目3万元，用于基本医疗保险参保8.5万人，生育保险参保0.9万人</w:t>
            </w:r>
            <w:r>
              <w:rPr>
                <w:rFonts w:hint="eastAsia" w:ascii="宋体" w:hAnsi="宋体"/>
                <w:sz w:val="16"/>
                <w:lang w:eastAsia="zh-CN"/>
              </w:rPr>
              <w:t>，以</w:t>
            </w:r>
            <w:r>
              <w:rPr>
                <w:rFonts w:ascii="宋体" w:hAnsi="宋体" w:eastAsia="宋体"/>
                <w:sz w:val="16"/>
              </w:rPr>
              <w:t>提升业务工作效率为着力点，围绕提高为民服务质量为重点，社会保险经办机构服务水平提高。有效提高两定机构医疗保险服务质量、规范医疗服务行为、保障参保人员权益、提升基金使用效率、规范协议管理等工作，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883298">
            <w:pPr>
              <w:jc w:val="both"/>
            </w:pPr>
            <w:r>
              <w:rPr>
                <w:rFonts w:ascii="宋体" w:hAnsi="宋体" w:eastAsia="宋体"/>
                <w:sz w:val="16"/>
              </w:rPr>
              <w:br w:type="textWrapping"/>
            </w:r>
            <w:r>
              <w:rPr>
                <w:rFonts w:ascii="宋体" w:hAnsi="宋体" w:eastAsia="宋体"/>
                <w:sz w:val="16"/>
              </w:rPr>
              <w:t>2024年自治区财政全民参保及医疗服务补助资金项目3万元，</w:t>
            </w:r>
            <w:r>
              <w:rPr>
                <w:rFonts w:hint="eastAsia" w:ascii="宋体" w:hAnsi="宋体"/>
                <w:sz w:val="16"/>
                <w:lang w:eastAsia="zh-CN"/>
              </w:rPr>
              <w:t>截至2024</w:t>
            </w:r>
            <w:r>
              <w:rPr>
                <w:rFonts w:ascii="宋体" w:hAnsi="宋体" w:eastAsia="宋体"/>
                <w:sz w:val="16"/>
              </w:rPr>
              <w:t>年8月31日，已经支付3万元，项目按照计划正常实行，已经完成了用于基本医疗保险参保8.05万人，生育保险参保0.9万人</w:t>
            </w:r>
            <w:r>
              <w:rPr>
                <w:rFonts w:hint="eastAsia" w:ascii="宋体" w:hAnsi="宋体"/>
                <w:sz w:val="16"/>
                <w:lang w:eastAsia="zh-CN"/>
              </w:rPr>
              <w:t>，以</w:t>
            </w:r>
            <w:r>
              <w:rPr>
                <w:rFonts w:ascii="宋体" w:hAnsi="宋体" w:eastAsia="宋体"/>
                <w:sz w:val="16"/>
              </w:rPr>
              <w:t>提升业务工作效率为着力点，围绕提高为民服务质量为重点，社会保险经办机构服务水平提高。通过项目的实施有效提高两定机构医疗保险服务质量、规范医疗服务行为、保障参保人员权益、提升基金使用效率、规范协议管理等工作，群众满意95%。</w:t>
            </w:r>
          </w:p>
        </w:tc>
      </w:tr>
      <w:tr w14:paraId="5D8FD2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322B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EB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CA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D4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890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09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88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5E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546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2D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867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913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7E2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8A98">
            <w:pPr>
              <w:jc w:val="center"/>
            </w:pPr>
            <w:r>
              <w:rPr>
                <w:rFonts w:ascii="宋体" w:hAnsi="宋体" w:eastAsia="宋体"/>
                <w:sz w:val="16"/>
              </w:rPr>
              <w:t>偏差原因分析及改进措施</w:t>
            </w:r>
          </w:p>
        </w:tc>
      </w:tr>
      <w:tr w14:paraId="2AF66C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D6D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CF5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D66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CDD7">
            <w:pPr>
              <w:jc w:val="center"/>
            </w:pPr>
            <w:r>
              <w:rPr>
                <w:rFonts w:ascii="宋体" w:hAnsi="宋体" w:eastAsia="宋体"/>
                <w:sz w:val="16"/>
              </w:rPr>
              <w:t>基本医疗保险参保人数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FD15">
            <w:pPr>
              <w:jc w:val="center"/>
            </w:pPr>
            <w:r>
              <w:rPr>
                <w:rFonts w:ascii="宋体" w:hAnsi="宋体" w:eastAsia="宋体"/>
                <w:sz w:val="16"/>
              </w:rPr>
              <w:t>&gt;=8.05万人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D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6577">
            <w:pPr>
              <w:jc w:val="center"/>
            </w:pPr>
            <w:r>
              <w:rPr>
                <w:rFonts w:ascii="宋体" w:hAnsi="宋体" w:eastAsia="宋体"/>
                <w:sz w:val="16"/>
              </w:rPr>
              <w:t>8.37万人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90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98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F5D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9595">
            <w:pPr>
              <w:jc w:val="center"/>
            </w:pPr>
            <w:r>
              <w:rPr>
                <w:rFonts w:ascii="宋体" w:hAnsi="宋体" w:eastAsia="宋体"/>
                <w:sz w:val="16"/>
              </w:rPr>
              <w:t>=8.05万人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B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B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22C9">
            <w:pPr>
              <w:jc w:val="center"/>
            </w:pPr>
          </w:p>
        </w:tc>
      </w:tr>
      <w:tr w14:paraId="1D7C3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4D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69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4C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B0D9">
            <w:pPr>
              <w:jc w:val="center"/>
            </w:pPr>
            <w:r>
              <w:rPr>
                <w:rFonts w:ascii="宋体" w:hAnsi="宋体" w:eastAsia="宋体"/>
                <w:sz w:val="16"/>
              </w:rPr>
              <w:t>生育保险参保人数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61C2">
            <w:pPr>
              <w:jc w:val="center"/>
            </w:pPr>
            <w:r>
              <w:rPr>
                <w:rFonts w:ascii="宋体" w:hAnsi="宋体" w:eastAsia="宋体"/>
                <w:sz w:val="16"/>
              </w:rPr>
              <w:t>&gt;=0.90万人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1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62C3">
            <w:pPr>
              <w:jc w:val="center"/>
            </w:pPr>
            <w:r>
              <w:rPr>
                <w:rFonts w:ascii="宋体" w:hAnsi="宋体" w:eastAsia="宋体"/>
                <w:sz w:val="16"/>
              </w:rPr>
              <w:t>0.90万人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6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0F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174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E351">
            <w:pPr>
              <w:jc w:val="center"/>
            </w:pPr>
            <w:r>
              <w:rPr>
                <w:rFonts w:ascii="宋体" w:hAnsi="宋体" w:eastAsia="宋体"/>
                <w:sz w:val="16"/>
              </w:rPr>
              <w:t>=0.9万人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7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A2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01AE">
            <w:pPr>
              <w:jc w:val="center"/>
            </w:pPr>
          </w:p>
        </w:tc>
      </w:tr>
      <w:tr w14:paraId="71AD5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61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7A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2E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2DF0">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3E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6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6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4D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7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9B3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6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8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C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D821">
            <w:pPr>
              <w:jc w:val="center"/>
            </w:pPr>
          </w:p>
        </w:tc>
      </w:tr>
      <w:tr w14:paraId="29D7E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88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D7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C0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4405">
            <w:pPr>
              <w:jc w:val="center"/>
            </w:pPr>
            <w:r>
              <w:rPr>
                <w:rFonts w:ascii="宋体" w:hAnsi="宋体" w:eastAsia="宋体"/>
                <w:sz w:val="16"/>
              </w:rPr>
              <w:t>参保完成时间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3AB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0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7A3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D7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E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108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314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D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1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88A4">
            <w:pPr>
              <w:jc w:val="center"/>
            </w:pPr>
          </w:p>
        </w:tc>
      </w:tr>
      <w:tr w14:paraId="7B2B6D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2B5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59E2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E9B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274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119D">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88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5BBE">
            <w:pPr>
              <w:jc w:val="center"/>
            </w:pPr>
            <w:r>
              <w:rPr>
                <w:rFonts w:ascii="宋体" w:hAnsi="宋体" w:eastAsia="宋体"/>
                <w:sz w:val="16"/>
              </w:rPr>
              <w:t>4439元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EF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B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A6E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5293">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3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00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DB75">
            <w:pPr>
              <w:jc w:val="center"/>
            </w:pPr>
          </w:p>
        </w:tc>
      </w:tr>
      <w:tr w14:paraId="28F1F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137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47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7E6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0E25">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8DF9">
            <w:pPr>
              <w:jc w:val="center"/>
            </w:pPr>
            <w:r>
              <w:rPr>
                <w:rFonts w:ascii="宋体" w:hAnsi="宋体" w:eastAsia="宋体"/>
                <w:sz w:val="16"/>
              </w:rPr>
              <w:t>&lt;=15400元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3A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7B94">
            <w:pPr>
              <w:jc w:val="center"/>
            </w:pPr>
            <w:r>
              <w:rPr>
                <w:rFonts w:ascii="宋体" w:hAnsi="宋体" w:eastAsia="宋体"/>
                <w:sz w:val="16"/>
              </w:rPr>
              <w:t>10676元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A9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4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702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B6D6">
            <w:pPr>
              <w:jc w:val="center"/>
            </w:pPr>
            <w:r>
              <w:rPr>
                <w:rFonts w:ascii="宋体" w:hAnsi="宋体" w:eastAsia="宋体"/>
                <w:sz w:val="16"/>
              </w:rPr>
              <w:t>=15400元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2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5A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CFD4">
            <w:pPr>
              <w:jc w:val="center"/>
            </w:pPr>
          </w:p>
        </w:tc>
      </w:tr>
      <w:tr w14:paraId="39487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83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02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F0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C126">
            <w:pPr>
              <w:jc w:val="center"/>
            </w:pPr>
            <w:r>
              <w:rPr>
                <w:rFonts w:ascii="宋体" w:hAnsi="宋体" w:eastAsia="宋体"/>
                <w:sz w:val="16"/>
              </w:rPr>
              <w:t>其他商品和服务支出费用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20BF">
            <w:pPr>
              <w:jc w:val="center"/>
            </w:pPr>
            <w:r>
              <w:rPr>
                <w:rFonts w:ascii="宋体" w:hAnsi="宋体" w:eastAsia="宋体"/>
                <w:sz w:val="16"/>
              </w:rPr>
              <w:t>&lt;=12600元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B8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842E">
            <w:pPr>
              <w:jc w:val="center"/>
            </w:pPr>
            <w:r>
              <w:rPr>
                <w:rFonts w:ascii="宋体" w:hAnsi="宋体" w:eastAsia="宋体"/>
                <w:sz w:val="16"/>
              </w:rPr>
              <w:t>5340元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66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42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45A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529C">
            <w:pPr>
              <w:jc w:val="center"/>
            </w:pPr>
            <w:r>
              <w:rPr>
                <w:rFonts w:ascii="宋体" w:hAnsi="宋体" w:eastAsia="宋体"/>
                <w:sz w:val="16"/>
              </w:rPr>
              <w:t>=12600元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7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6C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AFE8">
            <w:pPr>
              <w:jc w:val="center"/>
            </w:pPr>
          </w:p>
        </w:tc>
      </w:tr>
      <w:tr w14:paraId="35D1D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9C3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C4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88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78F9">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CA1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4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549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64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F2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EA7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55A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8E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3B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9639">
            <w:pPr>
              <w:jc w:val="center"/>
            </w:pPr>
          </w:p>
        </w:tc>
      </w:tr>
      <w:tr w14:paraId="3A872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9F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61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21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C1C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6A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D6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93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CA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6C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66D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C0D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4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28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D1E0">
            <w:pPr>
              <w:jc w:val="center"/>
            </w:pPr>
          </w:p>
        </w:tc>
      </w:tr>
      <w:tr w14:paraId="6672F82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0FC2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5964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97CA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A27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6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559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074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786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317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7D0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8E3642"/>
        </w:tc>
      </w:tr>
    </w:tbl>
    <w:p w14:paraId="4830EDF4">
      <w:r>
        <w:br w:type="page"/>
      </w:r>
    </w:p>
    <w:p w14:paraId="35A2C3CC">
      <w:pPr>
        <w:spacing w:line="640" w:lineRule="exact"/>
        <w:ind w:firstLine="640"/>
        <w:jc w:val="both"/>
        <w:outlineLvl w:val="2"/>
      </w:pPr>
      <w:r>
        <w:rPr>
          <w:rFonts w:ascii="黑体" w:hAnsi="黑体" w:eastAsia="黑体"/>
          <w:sz w:val="32"/>
        </w:rPr>
        <w:t>十二、其他需说明的事项</w:t>
      </w:r>
    </w:p>
    <w:p w14:paraId="0B2702BB">
      <w:pPr>
        <w:spacing w:line="580" w:lineRule="exact"/>
        <w:ind w:firstLine="640"/>
        <w:jc w:val="both"/>
      </w:pPr>
      <w:r>
        <w:rPr>
          <w:rFonts w:ascii="仿宋_GB2312" w:hAnsi="仿宋_GB2312" w:eastAsia="仿宋_GB2312"/>
          <w:b w:val="0"/>
          <w:sz w:val="32"/>
        </w:rPr>
        <w:t>本单位无其他需说明的事项。</w:t>
      </w:r>
    </w:p>
    <w:p w14:paraId="5D1543CA">
      <w:r>
        <w:br w:type="page"/>
      </w:r>
    </w:p>
    <w:p w14:paraId="2C4617DE">
      <w:pPr>
        <w:spacing w:line="240" w:lineRule="auto"/>
        <w:jc w:val="center"/>
        <w:outlineLvl w:val="1"/>
      </w:pPr>
      <w:r>
        <w:rPr>
          <w:rFonts w:ascii="黑体" w:hAnsi="黑体" w:eastAsia="黑体"/>
          <w:sz w:val="32"/>
        </w:rPr>
        <w:t>第三部分 专业名词解释</w:t>
      </w:r>
    </w:p>
    <w:p w14:paraId="405B7C9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4C8FF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ED26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D7A7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7139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4E848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F166B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BD713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577FA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6ADE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DCAADB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03DBA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3637B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A2553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7B0FD92">
      <w:r>
        <w:br w:type="page"/>
      </w:r>
    </w:p>
    <w:p w14:paraId="67411AC2">
      <w:pPr>
        <w:spacing w:line="240" w:lineRule="auto"/>
        <w:jc w:val="center"/>
        <w:outlineLvl w:val="1"/>
      </w:pPr>
      <w:r>
        <w:rPr>
          <w:rFonts w:ascii="黑体" w:hAnsi="黑体" w:eastAsia="黑体"/>
          <w:sz w:val="32"/>
        </w:rPr>
        <w:t>第四部分 部门决算报表（见附表）</w:t>
      </w:r>
    </w:p>
    <w:p w14:paraId="2007DDD6">
      <w:pPr>
        <w:spacing w:line="240" w:lineRule="auto"/>
        <w:ind w:firstLine="640"/>
        <w:jc w:val="both"/>
      </w:pPr>
      <w:r>
        <w:rPr>
          <w:rFonts w:ascii="仿宋_GB2312" w:hAnsi="仿宋_GB2312" w:eastAsia="仿宋_GB2312"/>
          <w:b w:val="0"/>
          <w:sz w:val="32"/>
        </w:rPr>
        <w:t>一、《收入支出决算总表》</w:t>
      </w:r>
    </w:p>
    <w:p w14:paraId="67BE4201">
      <w:pPr>
        <w:spacing w:line="240" w:lineRule="auto"/>
        <w:ind w:firstLine="640"/>
        <w:jc w:val="both"/>
      </w:pPr>
      <w:r>
        <w:rPr>
          <w:rFonts w:ascii="仿宋_GB2312" w:hAnsi="仿宋_GB2312" w:eastAsia="仿宋_GB2312"/>
          <w:b w:val="0"/>
          <w:sz w:val="32"/>
        </w:rPr>
        <w:t>二、《收入决算表》</w:t>
      </w:r>
    </w:p>
    <w:p w14:paraId="779E612F">
      <w:pPr>
        <w:spacing w:line="240" w:lineRule="auto"/>
        <w:ind w:firstLine="640"/>
        <w:jc w:val="both"/>
      </w:pPr>
      <w:r>
        <w:rPr>
          <w:rFonts w:ascii="仿宋_GB2312" w:hAnsi="仿宋_GB2312" w:eastAsia="仿宋_GB2312"/>
          <w:b w:val="0"/>
          <w:sz w:val="32"/>
        </w:rPr>
        <w:t>三、《支出决算表》</w:t>
      </w:r>
    </w:p>
    <w:p w14:paraId="483A2B37">
      <w:pPr>
        <w:spacing w:line="240" w:lineRule="auto"/>
        <w:ind w:firstLine="640"/>
        <w:jc w:val="both"/>
      </w:pPr>
      <w:r>
        <w:rPr>
          <w:rFonts w:ascii="仿宋_GB2312" w:hAnsi="仿宋_GB2312" w:eastAsia="仿宋_GB2312"/>
          <w:b w:val="0"/>
          <w:sz w:val="32"/>
        </w:rPr>
        <w:t>四、《财政拨款收入支出决算总表》</w:t>
      </w:r>
    </w:p>
    <w:p w14:paraId="61D7EBA0">
      <w:pPr>
        <w:spacing w:line="240" w:lineRule="auto"/>
        <w:ind w:firstLine="640"/>
        <w:jc w:val="both"/>
      </w:pPr>
      <w:r>
        <w:rPr>
          <w:rFonts w:ascii="仿宋_GB2312" w:hAnsi="仿宋_GB2312" w:eastAsia="仿宋_GB2312"/>
          <w:b w:val="0"/>
          <w:sz w:val="32"/>
        </w:rPr>
        <w:t>五、《一般公共预算财政拨款支出决算表》</w:t>
      </w:r>
    </w:p>
    <w:p w14:paraId="05B5DF70">
      <w:pPr>
        <w:spacing w:line="240" w:lineRule="auto"/>
        <w:ind w:firstLine="640"/>
        <w:jc w:val="both"/>
      </w:pPr>
      <w:r>
        <w:rPr>
          <w:rFonts w:ascii="仿宋_GB2312" w:hAnsi="仿宋_GB2312" w:eastAsia="仿宋_GB2312"/>
          <w:b w:val="0"/>
          <w:sz w:val="32"/>
        </w:rPr>
        <w:t>六、《一般公共预算财政拨款基本支出决算表》</w:t>
      </w:r>
    </w:p>
    <w:p w14:paraId="32D90E24">
      <w:pPr>
        <w:spacing w:line="240" w:lineRule="auto"/>
        <w:ind w:firstLine="640"/>
        <w:jc w:val="both"/>
      </w:pPr>
      <w:r>
        <w:rPr>
          <w:rFonts w:ascii="仿宋_GB2312" w:hAnsi="仿宋_GB2312" w:eastAsia="仿宋_GB2312"/>
          <w:b w:val="0"/>
          <w:sz w:val="32"/>
        </w:rPr>
        <w:t>七、《政府性基金预算财政拨款收入支出决算表》</w:t>
      </w:r>
    </w:p>
    <w:p w14:paraId="6B35C043">
      <w:pPr>
        <w:spacing w:line="240" w:lineRule="auto"/>
        <w:ind w:firstLine="640"/>
        <w:jc w:val="both"/>
      </w:pPr>
      <w:r>
        <w:rPr>
          <w:rFonts w:ascii="仿宋_GB2312" w:hAnsi="仿宋_GB2312" w:eastAsia="仿宋_GB2312"/>
          <w:b w:val="0"/>
          <w:sz w:val="32"/>
        </w:rPr>
        <w:t>八、《国有资本经营预算财政拨款收入支出决算表》</w:t>
      </w:r>
    </w:p>
    <w:p w14:paraId="1113193A">
      <w:pPr>
        <w:spacing w:line="240" w:lineRule="auto"/>
        <w:ind w:firstLine="640"/>
        <w:jc w:val="both"/>
      </w:pPr>
      <w:r>
        <w:rPr>
          <w:rFonts w:ascii="仿宋_GB2312" w:hAnsi="仿宋_GB2312" w:eastAsia="仿宋_GB2312"/>
          <w:b w:val="0"/>
          <w:sz w:val="32"/>
        </w:rPr>
        <w:t>九、《财政拨款“三公”经费支出决算表》</w:t>
      </w:r>
    </w:p>
    <w:p w14:paraId="55AC92E1">
      <w:pPr>
        <w:spacing w:line="240" w:lineRule="auto"/>
        <w:ind w:firstLine="640"/>
        <w:jc w:val="both"/>
      </w:pPr>
    </w:p>
    <w:p w14:paraId="2C2554D1">
      <w:pPr>
        <w:spacing w:line="240" w:lineRule="auto"/>
        <w:ind w:firstLine="640"/>
        <w:jc w:val="both"/>
      </w:pPr>
    </w:p>
    <w:p w14:paraId="321987F5">
      <w:pPr>
        <w:spacing w:line="240" w:lineRule="auto"/>
        <w:ind w:firstLine="640"/>
        <w:jc w:val="both"/>
      </w:pPr>
    </w:p>
    <w:p w14:paraId="3DCCC6E9">
      <w:pPr>
        <w:spacing w:line="240" w:lineRule="auto"/>
        <w:ind w:firstLine="640"/>
        <w:jc w:val="both"/>
      </w:pPr>
    </w:p>
    <w:p w14:paraId="5FAB73F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63F4C"/>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B500B5"/>
    <w:rsid w:val="2FD27414"/>
    <w:rsid w:val="313F1D52"/>
    <w:rsid w:val="318029AB"/>
    <w:rsid w:val="31C63837"/>
    <w:rsid w:val="326F0A17"/>
    <w:rsid w:val="3277581B"/>
    <w:rsid w:val="33D5451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e13bcfb0-2af0-4459-9ff4-73b2117a4597</errorID>
      <errorWord>八项规定</errorWord>
      <group>L1_Sensitive</group>
      <groupName>敏感问题</groupName>
      <ability>L2_UserSensitive</ability>
      <abilityName>自定义敏感词</abilityName>
      <candidateList/>
      <explain>来自自定义敏感词库。</explain>
      <paraID>56ACA83C</paraID>
      <start>59</start>
      <end>63</end>
      <status>unmodified</status>
      <modifiedWord/>
      <trackRevisions>false</trackRevisions>
    </reviewItem>
    <reviewItem>
      <errorID>aa87bfc5-8fcb-4198-b9fc-79c21300d46c</errorID>
      <errorWord>八项规定</errorWord>
      <group>L1_Sensitive</group>
      <groupName>敏感问题</groupName>
      <ability>L2_UserSensitive</ability>
      <abilityName>自定义敏感词</abilityName>
      <candidateList/>
      <explain>来自自定义敏感词库。</explain>
      <paraID>56ACA83C</paraID>
      <start>224</start>
      <end>228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0a21ca-d11d-4439-a51a-9636f717c193}">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5981</Words>
  <Characters>6659</Characters>
  <Lines>0</Lines>
  <Paragraphs>0</Paragraphs>
  <TotalTime>5</TotalTime>
  <ScaleCrop>false</ScaleCrop>
  <LinksUpToDate>false</LinksUpToDate>
  <CharactersWithSpaces>6667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2025-10-31T10:56:43Z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