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托里县融媒体中心（广播电视台）2024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6A63957">
      <w:r>
        <w:br w:type="page"/>
      </w:r>
    </w:p>
    <w:p w14:paraId="16B5BA3D">
      <w:pPr>
        <w:spacing w:line="640" w:lineRule="exact"/>
        <w:jc w:val="center"/>
        <w:outlineLvl w:val="1"/>
      </w:pPr>
      <w:r>
        <w:rPr>
          <w:rFonts w:ascii="黑体" w:hAnsi="黑体" w:eastAsia="黑体"/>
          <w:sz w:val="32"/>
        </w:rPr>
        <w:t>第一部分 单位概况</w:t>
      </w:r>
    </w:p>
    <w:p w14:paraId="1C88D28C">
      <w:pPr>
        <w:spacing w:line="640" w:lineRule="exact"/>
        <w:ind w:firstLine="640"/>
        <w:jc w:val="both"/>
        <w:outlineLvl w:val="2"/>
      </w:pPr>
      <w:r>
        <w:rPr>
          <w:rFonts w:ascii="黑体" w:hAnsi="黑体" w:eastAsia="黑体"/>
          <w:sz w:val="32"/>
        </w:rPr>
        <w:t>一、主要职能</w:t>
      </w:r>
    </w:p>
    <w:p w14:paraId="1729E3C3">
      <w:pPr>
        <w:spacing w:line="580" w:lineRule="exact"/>
        <w:ind w:firstLine="640"/>
        <w:jc w:val="both"/>
      </w:pPr>
      <w:r>
        <w:rPr>
          <w:rFonts w:ascii="仿宋_GB2312" w:hAnsi="仿宋_GB2312" w:eastAsia="仿宋_GB2312"/>
          <w:sz w:val="32"/>
        </w:rPr>
        <w:t>(一）加强党对县文化广播电视的领导。贯彻落实党和国家文化体育广播媒体工作的方针政策，拟订县文化媒体广播电视政策措施，发展中国特色社会主义文化，牢牢掌握意识形态工作的领导权和主动权。</w:t>
      </w:r>
    </w:p>
    <w:p w14:paraId="1EA23C6B">
      <w:pPr>
        <w:spacing w:line="580" w:lineRule="exact"/>
        <w:ind w:firstLine="640"/>
        <w:jc w:val="both"/>
      </w:pPr>
      <w:r>
        <w:rPr>
          <w:rFonts w:ascii="仿宋_GB2312" w:hAnsi="仿宋_GB2312" w:eastAsia="仿宋_GB2312"/>
          <w:sz w:val="32"/>
        </w:rPr>
        <w:t>(二）统筹县文化媒体广播电视，拟订县文化媒体广播电视发展规划并组织实施。</w:t>
      </w:r>
    </w:p>
    <w:p w14:paraId="76EFC409">
      <w:pPr>
        <w:spacing w:line="580" w:lineRule="exact"/>
        <w:ind w:firstLine="640"/>
        <w:jc w:val="both"/>
      </w:pPr>
      <w:r>
        <w:rPr>
          <w:rFonts w:ascii="仿宋_GB2312" w:hAnsi="仿宋_GB2312" w:eastAsia="仿宋_GB2312"/>
          <w:sz w:val="32"/>
        </w:rPr>
        <w:t>(三）管理县重大媒体宣传活动，落实重点融媒体+建设，组织文化和旅游整体形象推广，</w:t>
      </w:r>
      <w:r>
        <w:rPr>
          <w:rFonts w:hint="eastAsia" w:ascii="仿宋_GB2312" w:hAnsi="仿宋_GB2312" w:eastAsia="仿宋_GB2312"/>
          <w:sz w:val="32"/>
          <w:lang w:eastAsia="zh-CN"/>
        </w:rPr>
        <w:t>构建</w:t>
      </w:r>
      <w:r>
        <w:rPr>
          <w:rFonts w:ascii="仿宋_GB2312" w:hAnsi="仿宋_GB2312" w:eastAsia="仿宋_GB2312"/>
          <w:sz w:val="32"/>
        </w:rPr>
        <w:t>健全媒体时代的宣传营销平台和机制，促进本县文化产业对外合作和市场推广。</w:t>
      </w:r>
    </w:p>
    <w:p w14:paraId="334208CC">
      <w:pPr>
        <w:spacing w:line="580" w:lineRule="exact"/>
        <w:ind w:firstLine="640"/>
        <w:jc w:val="both"/>
      </w:pPr>
      <w:r>
        <w:rPr>
          <w:rFonts w:ascii="仿宋_GB2312" w:hAnsi="仿宋_GB2312" w:eastAsia="仿宋_GB2312"/>
          <w:sz w:val="32"/>
        </w:rPr>
        <w:t>(四）负责融媒体事业发展，推进“石榴云”、抖音、快手等多平台服务体系建设，深入实施文化体育惠民工程，统筹推进基本公共文化服务标准化、均等化。</w:t>
      </w:r>
    </w:p>
    <w:p w14:paraId="7A9BD010">
      <w:pPr>
        <w:spacing w:line="580" w:lineRule="exact"/>
        <w:ind w:firstLine="640"/>
        <w:jc w:val="both"/>
      </w:pPr>
      <w:r>
        <w:rPr>
          <w:rFonts w:ascii="仿宋_GB2312" w:hAnsi="仿宋_GB2312" w:eastAsia="仿宋_GB2312"/>
          <w:sz w:val="32"/>
        </w:rPr>
        <w:t>(五）负责托里县广播、电视、零距离、抖音、“托里好地方”APP客户端等媒体节目采编播工作的审查和发布。</w:t>
      </w:r>
    </w:p>
    <w:p w14:paraId="654965BE">
      <w:pPr>
        <w:spacing w:line="580" w:lineRule="exact"/>
        <w:ind w:firstLine="640"/>
        <w:jc w:val="both"/>
      </w:pPr>
      <w:r>
        <w:rPr>
          <w:rFonts w:ascii="仿宋_GB2312" w:hAnsi="仿宋_GB2312" w:eastAsia="仿宋_GB2312"/>
          <w:sz w:val="32"/>
        </w:rPr>
        <w:t>(六）负责向上级宣传媒体传送节目；做好内、外宣工作；负责新媒体节目的创优工作。</w:t>
      </w:r>
    </w:p>
    <w:p w14:paraId="25B65D77">
      <w:pPr>
        <w:spacing w:line="580" w:lineRule="exact"/>
        <w:ind w:firstLine="640"/>
        <w:jc w:val="both"/>
      </w:pPr>
      <w:r>
        <w:rPr>
          <w:rFonts w:ascii="仿宋_GB2312" w:hAnsi="仿宋_GB2312" w:eastAsia="仿宋_GB2312"/>
          <w:sz w:val="32"/>
        </w:rPr>
        <w:t>(七）负责体育宣传、科技、教育和培训工作，推进体育文化建设；组织开展体育领域重大科技研究、技术攻关和成果推广。</w:t>
      </w:r>
    </w:p>
    <w:p w14:paraId="67CDCC65">
      <w:pPr>
        <w:spacing w:line="580" w:lineRule="exact"/>
        <w:ind w:firstLine="640"/>
        <w:jc w:val="both"/>
      </w:pPr>
      <w:r>
        <w:rPr>
          <w:rFonts w:ascii="仿宋_GB2312" w:hAnsi="仿宋_GB2312" w:eastAsia="仿宋_GB2312"/>
          <w:sz w:val="32"/>
        </w:rPr>
        <w:t>(八）负责统筹规划全县融媒体产业发展，落实和推进媒体工作。</w:t>
      </w:r>
    </w:p>
    <w:p w14:paraId="4F7F918E">
      <w:pPr>
        <w:spacing w:line="640" w:lineRule="exact"/>
        <w:ind w:firstLine="640"/>
        <w:jc w:val="both"/>
        <w:outlineLvl w:val="2"/>
      </w:pPr>
      <w:r>
        <w:rPr>
          <w:rFonts w:ascii="黑体" w:hAnsi="黑体" w:eastAsia="黑体"/>
          <w:sz w:val="32"/>
        </w:rPr>
        <w:t>二、机构设置及人员情况</w:t>
      </w:r>
    </w:p>
    <w:p w14:paraId="1E3BA850">
      <w:pPr>
        <w:spacing w:line="580" w:lineRule="exact"/>
        <w:ind w:firstLine="640"/>
        <w:jc w:val="both"/>
      </w:pPr>
      <w:r>
        <w:rPr>
          <w:rFonts w:ascii="仿宋_GB2312" w:hAnsi="仿宋_GB2312" w:eastAsia="仿宋_GB2312"/>
          <w:sz w:val="32"/>
        </w:rPr>
        <w:t>托里县融媒体中心（广播电视台）2024年度，实有人数37人，其中：在职人员26人，增加1人；离休人员0人，增加0人；退休人员11人,增加1人。</w:t>
      </w:r>
    </w:p>
    <w:p w14:paraId="61DC1DDB">
      <w:pPr>
        <w:spacing w:line="580" w:lineRule="exact"/>
        <w:ind w:firstLine="640"/>
        <w:jc w:val="both"/>
      </w:pPr>
      <w:r>
        <w:rPr>
          <w:rFonts w:ascii="仿宋_GB2312" w:hAnsi="仿宋_GB2312" w:eastAsia="仿宋_GB2312"/>
          <w:sz w:val="32"/>
        </w:rPr>
        <w:t>托里县融媒体中心（广播电视台）无下属预算单位，下设4个科室，分别是：办公室、新媒体部、记者室、编辑部。</w:t>
      </w:r>
    </w:p>
    <w:p w14:paraId="1B5D249E">
      <w:r>
        <w:br w:type="page"/>
      </w:r>
    </w:p>
    <w:p w14:paraId="47D7A714">
      <w:pPr>
        <w:spacing w:line="240" w:lineRule="auto"/>
        <w:jc w:val="center"/>
        <w:outlineLvl w:val="1"/>
      </w:pPr>
      <w:r>
        <w:rPr>
          <w:rFonts w:ascii="黑体" w:hAnsi="黑体" w:eastAsia="黑体"/>
          <w:sz w:val="32"/>
        </w:rPr>
        <w:t>第二部分 部门决算情况说明</w:t>
      </w:r>
    </w:p>
    <w:p w14:paraId="3D7B2925">
      <w:pPr>
        <w:spacing w:line="640" w:lineRule="exact"/>
        <w:ind w:firstLine="640"/>
        <w:jc w:val="both"/>
        <w:outlineLvl w:val="2"/>
      </w:pPr>
      <w:r>
        <w:rPr>
          <w:rFonts w:ascii="黑体" w:hAnsi="黑体" w:eastAsia="黑体"/>
          <w:sz w:val="32"/>
        </w:rPr>
        <w:t>一、收入支出决算总体情况说明</w:t>
      </w:r>
    </w:p>
    <w:p w14:paraId="06C62930">
      <w:pPr>
        <w:spacing w:line="580" w:lineRule="exact"/>
        <w:ind w:firstLine="640"/>
        <w:jc w:val="both"/>
      </w:pPr>
      <w:r>
        <w:rPr>
          <w:rFonts w:ascii="仿宋_GB2312" w:hAnsi="仿宋_GB2312" w:eastAsia="仿宋_GB2312"/>
          <w:b/>
          <w:sz w:val="32"/>
        </w:rPr>
        <w:t>2024年度收入总计689.52万元，</w:t>
      </w:r>
      <w:r>
        <w:rPr>
          <w:rFonts w:ascii="仿宋_GB2312" w:hAnsi="仿宋_GB2312" w:eastAsia="仿宋_GB2312"/>
          <w:b w:val="0"/>
          <w:sz w:val="32"/>
        </w:rPr>
        <w:t>其中：本年收入合计689.51万元，使用非财政拨款结余（含专用结余）0.00万元，年初结转和结余0.00万元。</w:t>
      </w:r>
    </w:p>
    <w:p w14:paraId="36123AE8">
      <w:pPr>
        <w:spacing w:line="580" w:lineRule="exact"/>
        <w:ind w:firstLine="640"/>
        <w:jc w:val="both"/>
      </w:pPr>
      <w:r>
        <w:rPr>
          <w:rFonts w:ascii="仿宋_GB2312" w:hAnsi="仿宋_GB2312" w:eastAsia="仿宋_GB2312"/>
          <w:b/>
          <w:sz w:val="32"/>
        </w:rPr>
        <w:t>2024年度支出总计689.52万元，</w:t>
      </w:r>
      <w:r>
        <w:rPr>
          <w:rFonts w:ascii="仿宋_GB2312" w:hAnsi="仿宋_GB2312" w:eastAsia="仿宋_GB2312"/>
          <w:b w:val="0"/>
          <w:sz w:val="32"/>
        </w:rPr>
        <w:t>其中：本年支出合计689.51万元，结余分配0.00万元，年末结转和结余0.00万元。</w:t>
      </w:r>
    </w:p>
    <w:p w14:paraId="76799D5A">
      <w:pPr>
        <w:spacing w:line="580" w:lineRule="exact"/>
        <w:ind w:firstLine="640"/>
        <w:jc w:val="both"/>
      </w:pPr>
      <w:r>
        <w:rPr>
          <w:rFonts w:ascii="仿宋_GB2312" w:hAnsi="仿宋_GB2312" w:eastAsia="仿宋_GB2312"/>
          <w:b w:val="0"/>
          <w:sz w:val="32"/>
        </w:rPr>
        <w:t>收入支出总体与上年相比，增加150.32万元，增长27.88%，主要原因是：本年增加中央补助地方公共文化服务体系建设补助资金、县融媒体中心建设项目（装修改造工程）资金，导致经费支出增加。</w:t>
      </w:r>
    </w:p>
    <w:p w14:paraId="7F348D06">
      <w:pPr>
        <w:spacing w:line="640" w:lineRule="exact"/>
        <w:ind w:firstLine="640"/>
        <w:jc w:val="both"/>
        <w:outlineLvl w:val="2"/>
      </w:pPr>
      <w:r>
        <w:rPr>
          <w:rFonts w:ascii="黑体" w:hAnsi="黑体" w:eastAsia="黑体"/>
          <w:sz w:val="32"/>
        </w:rPr>
        <w:t>二、收入决算情况说明</w:t>
      </w:r>
    </w:p>
    <w:p w14:paraId="2F90B757">
      <w:pPr>
        <w:spacing w:line="580" w:lineRule="exact"/>
        <w:ind w:firstLine="640"/>
        <w:jc w:val="both"/>
      </w:pPr>
      <w:r>
        <w:rPr>
          <w:rFonts w:ascii="仿宋_GB2312" w:hAnsi="仿宋_GB2312" w:eastAsia="仿宋_GB2312"/>
          <w:b/>
          <w:sz w:val="32"/>
        </w:rPr>
        <w:t>本年收入689.51万元，</w:t>
      </w:r>
      <w:r>
        <w:rPr>
          <w:rFonts w:ascii="仿宋_GB2312" w:hAnsi="仿宋_GB2312" w:eastAsia="仿宋_GB2312"/>
          <w:b w:val="0"/>
          <w:sz w:val="32"/>
        </w:rPr>
        <w:t>其中：财政拨款收入689.51万元，占100.00%；上级补助收入0.00万元，占0.00%；事业收入0.00万元，占0.00%；经营收入0.00万元，占0.00%；附属单位上缴收入0.00万元，占0.00%；其他收入0.00万元，占0.00%。</w:t>
      </w:r>
    </w:p>
    <w:p w14:paraId="3FD45496">
      <w:pPr>
        <w:spacing w:line="640" w:lineRule="exact"/>
        <w:ind w:firstLine="640"/>
        <w:jc w:val="both"/>
        <w:outlineLvl w:val="2"/>
      </w:pPr>
      <w:r>
        <w:rPr>
          <w:rFonts w:ascii="黑体" w:hAnsi="黑体" w:eastAsia="黑体"/>
          <w:sz w:val="32"/>
        </w:rPr>
        <w:t>三、支出决算情况说明</w:t>
      </w:r>
    </w:p>
    <w:p w14:paraId="64034FA1">
      <w:pPr>
        <w:spacing w:line="580" w:lineRule="exact"/>
        <w:ind w:firstLine="640"/>
        <w:jc w:val="both"/>
      </w:pPr>
      <w:r>
        <w:rPr>
          <w:rFonts w:ascii="仿宋_GB2312" w:hAnsi="仿宋_GB2312" w:eastAsia="仿宋_GB2312"/>
          <w:b/>
          <w:sz w:val="32"/>
        </w:rPr>
        <w:t>本年支出689.51万元，</w:t>
      </w:r>
      <w:r>
        <w:rPr>
          <w:rFonts w:ascii="仿宋_GB2312" w:hAnsi="仿宋_GB2312" w:eastAsia="仿宋_GB2312"/>
          <w:b w:val="0"/>
          <w:sz w:val="32"/>
        </w:rPr>
        <w:t>其中：基本支出565.29万元，占81.98%；项目支出124.22万元，占18.02%；上缴上级支出0.00万元，占0.00%；经营支出0.00万元，占0.00%；对附属单位补助支出0.00万元，占0.00%。</w:t>
      </w:r>
    </w:p>
    <w:p w14:paraId="1FF8131F">
      <w:pPr>
        <w:spacing w:line="640" w:lineRule="exact"/>
        <w:ind w:firstLine="640"/>
        <w:jc w:val="both"/>
        <w:outlineLvl w:val="2"/>
      </w:pPr>
      <w:r>
        <w:rPr>
          <w:rFonts w:ascii="黑体" w:hAnsi="黑体" w:eastAsia="黑体"/>
          <w:sz w:val="32"/>
        </w:rPr>
        <w:t>四、财政拨款收入支出决算总体情况说明</w:t>
      </w:r>
    </w:p>
    <w:p w14:paraId="48B6AA88">
      <w:pPr>
        <w:spacing w:line="580" w:lineRule="exact"/>
        <w:ind w:firstLine="640"/>
        <w:jc w:val="both"/>
      </w:pPr>
      <w:r>
        <w:rPr>
          <w:rFonts w:ascii="仿宋_GB2312" w:hAnsi="仿宋_GB2312" w:eastAsia="仿宋_GB2312"/>
          <w:b/>
          <w:sz w:val="32"/>
        </w:rPr>
        <w:t>2024年度财政拨款收入总计689.51万元，</w:t>
      </w:r>
      <w:r>
        <w:rPr>
          <w:rFonts w:ascii="仿宋_GB2312" w:hAnsi="仿宋_GB2312" w:eastAsia="仿宋_GB2312"/>
          <w:b w:val="0"/>
          <w:sz w:val="32"/>
        </w:rPr>
        <w:t>其中：年初财政拨款结转和结余0.00万元，本年财政拨款收入689.51万元。</w:t>
      </w:r>
      <w:r>
        <w:rPr>
          <w:rFonts w:ascii="仿宋_GB2312" w:hAnsi="仿宋_GB2312" w:eastAsia="仿宋_GB2312"/>
          <w:b/>
          <w:sz w:val="32"/>
        </w:rPr>
        <w:t>财政拨款支出总计689.51万元，</w:t>
      </w:r>
      <w:r>
        <w:rPr>
          <w:rFonts w:ascii="仿宋_GB2312" w:hAnsi="仿宋_GB2312" w:eastAsia="仿宋_GB2312"/>
          <w:b w:val="0"/>
          <w:sz w:val="32"/>
        </w:rPr>
        <w:t>其中：年末财政拨款结转和结余0.00万元，本年财政拨款支出689.51万元。</w:t>
      </w:r>
    </w:p>
    <w:p w14:paraId="595B80B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增加151.05万元，增长28.05%，主要原因是：本年增加中央补助地方公共文化服务体系建设补助资金、县融媒体中心建设项目（装修改造工程）资金，导致经费支出增加。</w:t>
      </w:r>
      <w:r>
        <w:rPr>
          <w:rFonts w:ascii="仿宋_GB2312" w:hAnsi="仿宋_GB2312" w:eastAsia="仿宋_GB2312"/>
          <w:b/>
          <w:sz w:val="32"/>
        </w:rPr>
        <w:t>与年初预算相比，</w:t>
      </w:r>
      <w:r>
        <w:rPr>
          <w:rFonts w:ascii="仿宋_GB2312" w:hAnsi="仿宋_GB2312" w:eastAsia="仿宋_GB2312"/>
          <w:b w:val="0"/>
          <w:sz w:val="32"/>
        </w:rPr>
        <w:t>年初预算数640.53万元，决算数689.51万元，预决算差异率7.65%，主要原因是：年中追加中央补助地方公共文化体系建设项目资金，导致预决算存在差异。</w:t>
      </w:r>
    </w:p>
    <w:p w14:paraId="39620626">
      <w:pPr>
        <w:spacing w:line="640" w:lineRule="exact"/>
        <w:ind w:firstLine="640"/>
        <w:jc w:val="both"/>
        <w:outlineLvl w:val="2"/>
      </w:pPr>
      <w:r>
        <w:rPr>
          <w:rFonts w:ascii="黑体" w:hAnsi="黑体" w:eastAsia="黑体"/>
          <w:sz w:val="32"/>
        </w:rPr>
        <w:t>五、一般公共预算财政拨款支出决算情况说明</w:t>
      </w:r>
    </w:p>
    <w:p w14:paraId="6CDA133E">
      <w:pPr>
        <w:spacing w:line="640" w:lineRule="exact"/>
        <w:ind w:firstLine="640"/>
        <w:jc w:val="both"/>
        <w:outlineLvl w:val="3"/>
      </w:pPr>
      <w:r>
        <w:rPr>
          <w:rFonts w:ascii="楷体_GB2312" w:hAnsi="楷体_GB2312" w:eastAsia="楷体_GB2312"/>
          <w:b/>
          <w:sz w:val="32"/>
        </w:rPr>
        <w:t>（一）一般公共预算财政拨款支出决算总体情况</w:t>
      </w:r>
    </w:p>
    <w:p w14:paraId="202F3DFE">
      <w:pPr>
        <w:spacing w:line="580" w:lineRule="exact"/>
        <w:ind w:firstLine="640"/>
        <w:jc w:val="both"/>
      </w:pPr>
      <w:r>
        <w:rPr>
          <w:rFonts w:ascii="仿宋_GB2312" w:hAnsi="仿宋_GB2312" w:eastAsia="仿宋_GB2312"/>
          <w:b/>
          <w:sz w:val="32"/>
        </w:rPr>
        <w:t>2024年度一般公共预算财政拨款支出645.17万元，</w:t>
      </w:r>
      <w:r>
        <w:rPr>
          <w:rFonts w:ascii="仿宋_GB2312" w:hAnsi="仿宋_GB2312" w:eastAsia="仿宋_GB2312"/>
          <w:b w:val="0"/>
          <w:sz w:val="32"/>
        </w:rPr>
        <w:t>占本年支出合计的93.57%。</w:t>
      </w:r>
      <w:r>
        <w:rPr>
          <w:rFonts w:ascii="仿宋_GB2312" w:hAnsi="仿宋_GB2312" w:eastAsia="仿宋_GB2312"/>
          <w:b/>
          <w:sz w:val="32"/>
        </w:rPr>
        <w:t>与上年相比，</w:t>
      </w:r>
      <w:r>
        <w:rPr>
          <w:rFonts w:ascii="仿宋_GB2312" w:hAnsi="仿宋_GB2312" w:eastAsia="仿宋_GB2312"/>
          <w:b w:val="0"/>
          <w:sz w:val="32"/>
        </w:rPr>
        <w:t>增加106.71万元，增长19.82%，主要原因是：本年在职人员增加，在职人员工资调增、社保、公积金基数调增，人员经费增加；本年增加中央补助地方公共文化体系建设项目资金。</w:t>
      </w:r>
      <w:r>
        <w:rPr>
          <w:rFonts w:ascii="仿宋_GB2312" w:hAnsi="仿宋_GB2312" w:eastAsia="仿宋_GB2312"/>
          <w:b/>
          <w:sz w:val="32"/>
        </w:rPr>
        <w:t>与年初预算相比,</w:t>
      </w:r>
      <w:r>
        <w:rPr>
          <w:rFonts w:ascii="仿宋_GB2312" w:hAnsi="仿宋_GB2312" w:eastAsia="仿宋_GB2312"/>
          <w:b w:val="0"/>
          <w:sz w:val="32"/>
        </w:rPr>
        <w:t>年初预算数595.36万元，决算数645.17万元，预决算差异率8.37%，主要原因是：年中追加中央补助地方公共文化体系建设项目资金，导致预决算存在差异。</w:t>
      </w:r>
    </w:p>
    <w:p w14:paraId="2DE4A4CD">
      <w:pPr>
        <w:spacing w:line="640" w:lineRule="exact"/>
        <w:ind w:firstLine="640"/>
        <w:jc w:val="both"/>
        <w:outlineLvl w:val="3"/>
      </w:pPr>
      <w:r>
        <w:rPr>
          <w:rFonts w:ascii="楷体_GB2312" w:hAnsi="楷体_GB2312" w:eastAsia="楷体_GB2312"/>
          <w:b/>
          <w:sz w:val="32"/>
        </w:rPr>
        <w:t>（二）一般公共预算财政拨款支出决算结构情况</w:t>
      </w:r>
    </w:p>
    <w:p w14:paraId="503E8A51">
      <w:pPr>
        <w:spacing w:line="580" w:lineRule="exact"/>
        <w:ind w:firstLine="640"/>
        <w:jc w:val="both"/>
      </w:pPr>
      <w:r>
        <w:rPr>
          <w:rFonts w:ascii="仿宋_GB2312" w:hAnsi="仿宋_GB2312" w:eastAsia="仿宋_GB2312"/>
          <w:b w:val="0"/>
          <w:sz w:val="32"/>
        </w:rPr>
        <w:t>1.科学技术支出(类)9.09万元,占1.41%。</w:t>
      </w:r>
    </w:p>
    <w:p w14:paraId="7E180E13">
      <w:pPr>
        <w:spacing w:line="580" w:lineRule="exact"/>
        <w:ind w:firstLine="640"/>
        <w:jc w:val="both"/>
      </w:pPr>
      <w:r>
        <w:rPr>
          <w:rFonts w:ascii="仿宋_GB2312" w:hAnsi="仿宋_GB2312" w:eastAsia="仿宋_GB2312"/>
          <w:b w:val="0"/>
          <w:sz w:val="32"/>
        </w:rPr>
        <w:t>2.文化旅游体育与传媒支出(类)516.53万元,占80.06%。</w:t>
      </w:r>
    </w:p>
    <w:p w14:paraId="6E439D34">
      <w:pPr>
        <w:spacing w:line="580" w:lineRule="exact"/>
        <w:ind w:firstLine="640"/>
        <w:jc w:val="both"/>
      </w:pPr>
      <w:r>
        <w:rPr>
          <w:rFonts w:ascii="仿宋_GB2312" w:hAnsi="仿宋_GB2312" w:eastAsia="仿宋_GB2312"/>
          <w:b w:val="0"/>
          <w:sz w:val="32"/>
        </w:rPr>
        <w:t>3.社会保障和就业支出(类)61.15万元,占9.48%。</w:t>
      </w:r>
    </w:p>
    <w:p w14:paraId="5232B831">
      <w:pPr>
        <w:spacing w:line="580" w:lineRule="exact"/>
        <w:ind w:firstLine="640"/>
        <w:jc w:val="both"/>
      </w:pPr>
      <w:r>
        <w:rPr>
          <w:rFonts w:ascii="仿宋_GB2312" w:hAnsi="仿宋_GB2312" w:eastAsia="仿宋_GB2312"/>
          <w:b w:val="0"/>
          <w:sz w:val="32"/>
        </w:rPr>
        <w:t>4.卫生健康支出(类)19.53万元,占3.03%。</w:t>
      </w:r>
    </w:p>
    <w:p w14:paraId="3C5C7B50">
      <w:pPr>
        <w:spacing w:line="580" w:lineRule="exact"/>
        <w:ind w:firstLine="640"/>
        <w:jc w:val="both"/>
      </w:pPr>
      <w:r>
        <w:rPr>
          <w:rFonts w:ascii="仿宋_GB2312" w:hAnsi="仿宋_GB2312" w:eastAsia="仿宋_GB2312"/>
          <w:b w:val="0"/>
          <w:sz w:val="32"/>
        </w:rPr>
        <w:t>5.住房保障支出(类)38.87万元,占6.02%。</w:t>
      </w:r>
    </w:p>
    <w:p w14:paraId="383F5970">
      <w:pPr>
        <w:spacing w:line="640" w:lineRule="exact"/>
        <w:ind w:firstLine="640"/>
        <w:jc w:val="both"/>
        <w:outlineLvl w:val="3"/>
      </w:pPr>
      <w:r>
        <w:rPr>
          <w:rFonts w:ascii="楷体_GB2312" w:hAnsi="楷体_GB2312" w:eastAsia="楷体_GB2312"/>
          <w:b/>
          <w:sz w:val="32"/>
        </w:rPr>
        <w:t>（三）一般公共预算财政拨款支出决算具体情况</w:t>
      </w:r>
    </w:p>
    <w:p w14:paraId="42EC6C87">
      <w:pPr>
        <w:spacing w:line="580" w:lineRule="exact"/>
        <w:ind w:firstLine="640"/>
        <w:jc w:val="both"/>
      </w:pPr>
      <w:r>
        <w:rPr>
          <w:rFonts w:ascii="仿宋_GB2312" w:hAnsi="仿宋_GB2312" w:eastAsia="仿宋_GB2312"/>
          <w:b w:val="0"/>
          <w:sz w:val="32"/>
        </w:rPr>
        <w:t>1.科学技术支出(类)技术研究与开发(款)科技成果转化与扩散(项):支出决算数为9.09万元，比上年决算减少15.91万元，下降63.64%,主要原因是：本年减少融媒体中心设备采购项目资金，相关支出减少。</w:t>
      </w:r>
    </w:p>
    <w:p w14:paraId="36073EB1">
      <w:pPr>
        <w:spacing w:line="580" w:lineRule="exact"/>
        <w:ind w:firstLine="640"/>
        <w:jc w:val="both"/>
      </w:pPr>
      <w:r>
        <w:rPr>
          <w:rFonts w:ascii="仿宋_GB2312" w:hAnsi="仿宋_GB2312" w:eastAsia="仿宋_GB2312"/>
          <w:b w:val="0"/>
          <w:sz w:val="32"/>
        </w:rPr>
        <w:t>2.文化旅游体育与传媒支出(类)广播电视(款)广播电视事务(项):支出决算数为445.74万元，比上年决算增加48.83万元，增长12.30%,主要原因是：本年在职人员增加，发放人员绩效奖金，相关人员经费增加。</w:t>
      </w:r>
    </w:p>
    <w:p w14:paraId="367431BA">
      <w:pPr>
        <w:spacing w:line="580" w:lineRule="exact"/>
        <w:ind w:firstLine="640"/>
        <w:jc w:val="both"/>
      </w:pPr>
      <w:r>
        <w:rPr>
          <w:rFonts w:ascii="仿宋_GB2312" w:hAnsi="仿宋_GB2312" w:eastAsia="仿宋_GB2312"/>
          <w:b w:val="0"/>
          <w:sz w:val="32"/>
        </w:rPr>
        <w:t>3.文化旅游体育与传媒支出(类)广播电视(款)其他广播电视支出(项):支出决算数为46.43万元，比上年决算增加32.10万元，增长224.01%,主要原因是：本年增加一般公共预算财政拨款</w:t>
      </w:r>
      <w:r>
        <w:rPr>
          <w:rFonts w:hint="eastAsia" w:ascii="仿宋_GB2312" w:hAnsi="仿宋_GB2312" w:eastAsia="仿宋_GB2312"/>
          <w:b w:val="0"/>
          <w:sz w:val="32"/>
          <w:lang w:eastAsia="zh-CN"/>
        </w:rPr>
        <w:t>－</w:t>
      </w:r>
      <w:r>
        <w:rPr>
          <w:rFonts w:ascii="仿宋_GB2312" w:hAnsi="仿宋_GB2312" w:eastAsia="仿宋_GB2312"/>
          <w:b w:val="0"/>
          <w:sz w:val="32"/>
        </w:rPr>
        <w:t>县融媒体中心建设项目（装修改造工程）。</w:t>
      </w:r>
    </w:p>
    <w:p w14:paraId="16455DD3">
      <w:pPr>
        <w:spacing w:line="580" w:lineRule="exact"/>
        <w:ind w:firstLine="640"/>
        <w:jc w:val="both"/>
      </w:pPr>
      <w:r>
        <w:rPr>
          <w:rFonts w:ascii="仿宋_GB2312" w:hAnsi="仿宋_GB2312" w:eastAsia="仿宋_GB2312"/>
          <w:b w:val="0"/>
          <w:sz w:val="32"/>
        </w:rPr>
        <w:t>4.文化旅游体育与传媒支出(类)其他文化旅游体育与传媒支出(款)其他文化旅游体育与传媒支出(项):支出决算数为24.36万元，比上年决算增加24.36万元，增长100.00%,主要原因是：本年增加中央补助地方公共文化体系建设项目资金，导致决算存在差异。</w:t>
      </w:r>
    </w:p>
    <w:p w14:paraId="3AF4D647">
      <w:pPr>
        <w:spacing w:line="580" w:lineRule="exact"/>
        <w:ind w:firstLine="640"/>
        <w:jc w:val="both"/>
      </w:pPr>
      <w:r>
        <w:rPr>
          <w:rFonts w:ascii="仿宋_GB2312" w:hAnsi="仿宋_GB2312" w:eastAsia="仿宋_GB2312"/>
          <w:b w:val="0"/>
          <w:sz w:val="32"/>
        </w:rPr>
        <w:t>5.社会保障和就业支出(类)行政事业单位养老支出(款)事业单位离退休(项):支出决算数为7.82万元，比上年决算增加2.18万元，增长38.65%,主要原因是：本年退休人员增加，退休费支出增加。</w:t>
      </w:r>
    </w:p>
    <w:p w14:paraId="4D69D4B1">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45.93万元，比上年决算增加6.46万元，增长16.37%,主要原因是：本年在职人员增加，养老保险缴费较上年增加。</w:t>
      </w:r>
    </w:p>
    <w:p w14:paraId="4517857F">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7.社会保障和就业支出(类)行政事业单位养老支出(款)机关事业单位职业年金缴费支出(项):支出决算数为7.39万元，比上年决算增加2.03万元，增长37.87%,主要原因是：本年新增退休人员，职业年金缴费支出增加。</w:t>
      </w:r>
    </w:p>
    <w:p w14:paraId="0D1A7BE1">
      <w:pPr>
        <w:spacing w:line="580" w:lineRule="exact"/>
        <w:ind w:firstLine="640"/>
        <w:jc w:val="both"/>
      </w:pPr>
      <w:r>
        <w:rPr>
          <w:rFonts w:ascii="仿宋_GB2312" w:hAnsi="仿宋_GB2312" w:eastAsia="仿宋_GB2312"/>
          <w:b w:val="0"/>
          <w:sz w:val="32"/>
        </w:rPr>
        <w:t>8.卫生健康支出(类)行政事业单位医疗(款)事业单位医疗(项):支出决算数为19.53万元，比上年决算增加0.96万元，增长5.17%,主要原因是：本年在职人员工资基数调增，医疗缴费基数上涨，相应支出增加。</w:t>
      </w:r>
    </w:p>
    <w:p w14:paraId="77E6E074">
      <w:pPr>
        <w:spacing w:line="580" w:lineRule="exact"/>
        <w:ind w:firstLine="640"/>
        <w:jc w:val="both"/>
      </w:pPr>
      <w:r>
        <w:rPr>
          <w:rFonts w:ascii="仿宋_GB2312" w:hAnsi="仿宋_GB2312" w:eastAsia="仿宋_GB2312"/>
          <w:b w:val="0"/>
          <w:sz w:val="32"/>
        </w:rPr>
        <w:t>9.住房保障支出(类)住房改革支出(款)住房公积金(项):支出决算数为38.87万元，比上年决算增加5.69万元，增长17.15%,主要原因是：本年在职人员增加，住房公积金支出较上年增加。</w:t>
      </w:r>
    </w:p>
    <w:p w14:paraId="0116C88A">
      <w:pPr>
        <w:spacing w:line="640" w:lineRule="exact"/>
        <w:ind w:firstLine="640"/>
        <w:jc w:val="both"/>
        <w:outlineLvl w:val="2"/>
      </w:pPr>
      <w:r>
        <w:rPr>
          <w:rFonts w:ascii="黑体" w:hAnsi="黑体" w:eastAsia="黑体"/>
          <w:sz w:val="32"/>
        </w:rPr>
        <w:t>六、一般公共预算财政拨款基本支出决算情况说明</w:t>
      </w:r>
    </w:p>
    <w:p w14:paraId="42C6537C">
      <w:pPr>
        <w:spacing w:line="580" w:lineRule="exact"/>
        <w:ind w:firstLine="640"/>
        <w:jc w:val="both"/>
      </w:pPr>
      <w:r>
        <w:rPr>
          <w:rFonts w:ascii="仿宋_GB2312" w:hAnsi="仿宋_GB2312" w:eastAsia="仿宋_GB2312"/>
          <w:b w:val="0"/>
          <w:sz w:val="32"/>
        </w:rPr>
        <w:t>2024年度一般公共预算财政拨款基本支出565.29万元，其中：</w:t>
      </w:r>
      <w:r>
        <w:rPr>
          <w:rFonts w:ascii="仿宋_GB2312" w:hAnsi="仿宋_GB2312" w:eastAsia="仿宋_GB2312"/>
          <w:b/>
          <w:sz w:val="32"/>
        </w:rPr>
        <w:t>人员经费546.17万元，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生活补助、医疗费补助、奖励金。</w:t>
      </w:r>
    </w:p>
    <w:p w14:paraId="444394EA">
      <w:pPr>
        <w:spacing w:line="580" w:lineRule="exact"/>
        <w:ind w:firstLine="640"/>
        <w:jc w:val="both"/>
      </w:pPr>
      <w:r>
        <w:rPr>
          <w:rFonts w:ascii="仿宋_GB2312" w:hAnsi="仿宋_GB2312" w:eastAsia="仿宋_GB2312"/>
          <w:b/>
          <w:sz w:val="32"/>
        </w:rPr>
        <w:t>公用经费19.13万元，</w:t>
      </w:r>
      <w:r>
        <w:rPr>
          <w:rFonts w:ascii="仿宋_GB2312" w:hAnsi="仿宋_GB2312" w:eastAsia="仿宋_GB2312"/>
          <w:b w:val="0"/>
          <w:sz w:val="32"/>
        </w:rPr>
        <w:t>包括：办公费、水费、电费、邮电费、取暖费、委托业务费、工会经费、公务用车运行维护费。</w:t>
      </w:r>
    </w:p>
    <w:p w14:paraId="7D169AC5">
      <w:pPr>
        <w:spacing w:line="640" w:lineRule="exact"/>
        <w:ind w:firstLine="640"/>
        <w:jc w:val="both"/>
        <w:outlineLvl w:val="2"/>
      </w:pPr>
      <w:r>
        <w:rPr>
          <w:rFonts w:ascii="黑体" w:hAnsi="黑体" w:eastAsia="黑体"/>
          <w:sz w:val="32"/>
        </w:rPr>
        <w:t>七、政府性基金预算财政拨款收入支出决算情况说明</w:t>
      </w:r>
    </w:p>
    <w:p w14:paraId="73B9CA36">
      <w:pPr>
        <w:spacing w:line="580" w:lineRule="exact"/>
        <w:ind w:firstLine="640"/>
        <w:jc w:val="both"/>
      </w:pPr>
      <w:r>
        <w:rPr>
          <w:rFonts w:ascii="仿宋_GB2312" w:hAnsi="仿宋_GB2312" w:eastAsia="仿宋_GB2312"/>
          <w:b/>
          <w:sz w:val="32"/>
        </w:rPr>
        <w:t>2024年度政府性基金预算财政拨款收入总计44.34万元，</w:t>
      </w:r>
      <w:r>
        <w:rPr>
          <w:rFonts w:ascii="仿宋_GB2312" w:hAnsi="仿宋_GB2312" w:eastAsia="仿宋_GB2312"/>
          <w:b w:val="0"/>
          <w:sz w:val="32"/>
        </w:rPr>
        <w:t>其中：年初结转和结余0.00万元，本年收入44.34万元。</w:t>
      </w:r>
      <w:r>
        <w:rPr>
          <w:rFonts w:ascii="仿宋_GB2312" w:hAnsi="仿宋_GB2312" w:eastAsia="仿宋_GB2312"/>
          <w:b/>
          <w:sz w:val="32"/>
        </w:rPr>
        <w:t>政府性基金预算财政拨款支出总计44.34万元，</w:t>
      </w:r>
      <w:r>
        <w:rPr>
          <w:rFonts w:ascii="仿宋_GB2312" w:hAnsi="仿宋_GB2312" w:eastAsia="仿宋_GB2312"/>
          <w:b w:val="0"/>
          <w:sz w:val="32"/>
        </w:rPr>
        <w:t>其中：年末结转和结余0.00万元，本年支出44.34万元。</w:t>
      </w:r>
    </w:p>
    <w:p w14:paraId="669644B2">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增加44.34万元，增长100.00%，主要原因是：本年增加政府性基金预算财政拨款</w:t>
      </w:r>
      <w:r>
        <w:rPr>
          <w:rFonts w:hint="eastAsia" w:ascii="仿宋_GB2312" w:hAnsi="仿宋_GB2312" w:eastAsia="仿宋_GB2312"/>
          <w:b w:val="0"/>
          <w:sz w:val="32"/>
          <w:lang w:eastAsia="zh-CN"/>
        </w:rPr>
        <w:t>－</w:t>
      </w:r>
      <w:r>
        <w:rPr>
          <w:rFonts w:ascii="仿宋_GB2312" w:hAnsi="仿宋_GB2312" w:eastAsia="仿宋_GB2312"/>
          <w:b w:val="0"/>
          <w:sz w:val="32"/>
        </w:rPr>
        <w:t>中小企业项目</w:t>
      </w:r>
      <w:r>
        <w:rPr>
          <w:rFonts w:hint="eastAsia" w:ascii="仿宋_GB2312" w:hAnsi="仿宋_GB2312" w:eastAsia="仿宋_GB2312"/>
          <w:b w:val="0"/>
          <w:sz w:val="32"/>
          <w:lang w:eastAsia="zh-CN"/>
        </w:rPr>
        <w:t>－</w:t>
      </w:r>
      <w:r>
        <w:rPr>
          <w:rFonts w:ascii="仿宋_GB2312" w:hAnsi="仿宋_GB2312" w:eastAsia="仿宋_GB2312"/>
          <w:b w:val="0"/>
          <w:sz w:val="32"/>
        </w:rPr>
        <w:t>县融媒体中心建设项目（装修改造工程）。</w:t>
      </w:r>
      <w:r>
        <w:rPr>
          <w:rFonts w:ascii="仿宋_GB2312" w:hAnsi="仿宋_GB2312" w:eastAsia="仿宋_GB2312"/>
          <w:b/>
          <w:sz w:val="32"/>
        </w:rPr>
        <w:t>与年初预算相比，</w:t>
      </w:r>
      <w:r>
        <w:rPr>
          <w:rFonts w:ascii="仿宋_GB2312" w:hAnsi="仿宋_GB2312" w:eastAsia="仿宋_GB2312"/>
          <w:b w:val="0"/>
          <w:sz w:val="32"/>
        </w:rPr>
        <w:t>年初预算数45.17万元，决算数44.34万元，预决算差异率-1.84%，主要原因是：严格落实中央八项规定精神，厉行节约，减少不必要的开支。</w:t>
      </w:r>
    </w:p>
    <w:p w14:paraId="519465E1">
      <w:pPr>
        <w:spacing w:line="580" w:lineRule="exact"/>
        <w:ind w:firstLine="640"/>
        <w:jc w:val="both"/>
      </w:pPr>
      <w:r>
        <w:rPr>
          <w:rFonts w:ascii="仿宋_GB2312" w:hAnsi="仿宋_GB2312" w:eastAsia="仿宋_GB2312"/>
          <w:b w:val="0"/>
          <w:sz w:val="32"/>
        </w:rPr>
        <w:t>政府性基金预算财政拨款支出44.34万元。</w:t>
      </w:r>
    </w:p>
    <w:p w14:paraId="4C8D7B92">
      <w:pPr>
        <w:spacing w:line="580" w:lineRule="exact"/>
        <w:ind w:firstLine="640"/>
        <w:jc w:val="both"/>
      </w:pPr>
      <w:r>
        <w:rPr>
          <w:rFonts w:ascii="仿宋_GB2312" w:hAnsi="仿宋_GB2312" w:eastAsia="仿宋_GB2312"/>
          <w:b w:val="0"/>
          <w:sz w:val="32"/>
        </w:rPr>
        <w:t>1.城乡社区支出(类)国有土地使用权出让收入安排的支出(款)其他国有土地使用权出让收入安排的支出(项):支出决算数为44.34万元，比上年决算增加44.34万元，增长100.00%,主要原因是：本年增加政府性基金预算财政拨款</w:t>
      </w:r>
      <w:r>
        <w:rPr>
          <w:rFonts w:hint="eastAsia" w:ascii="仿宋_GB2312" w:hAnsi="仿宋_GB2312" w:eastAsia="仿宋_GB2312"/>
          <w:b w:val="0"/>
          <w:sz w:val="32"/>
          <w:lang w:eastAsia="zh-CN"/>
        </w:rPr>
        <w:t>－</w:t>
      </w:r>
      <w:r>
        <w:rPr>
          <w:rFonts w:ascii="仿宋_GB2312" w:hAnsi="仿宋_GB2312" w:eastAsia="仿宋_GB2312"/>
          <w:b w:val="0"/>
          <w:sz w:val="32"/>
        </w:rPr>
        <w:t>中小企业项目</w:t>
      </w:r>
      <w:r>
        <w:rPr>
          <w:rFonts w:hint="eastAsia" w:ascii="仿宋_GB2312" w:hAnsi="仿宋_GB2312" w:eastAsia="仿宋_GB2312"/>
          <w:b w:val="0"/>
          <w:sz w:val="32"/>
          <w:lang w:eastAsia="zh-CN"/>
        </w:rPr>
        <w:t>－</w:t>
      </w:r>
      <w:r>
        <w:rPr>
          <w:rFonts w:ascii="仿宋_GB2312" w:hAnsi="仿宋_GB2312" w:eastAsia="仿宋_GB2312"/>
          <w:b w:val="0"/>
          <w:sz w:val="32"/>
        </w:rPr>
        <w:t>县融媒体中心建设项目（装修改造工程）。</w:t>
      </w:r>
    </w:p>
    <w:p w14:paraId="5C135F9E">
      <w:pPr>
        <w:spacing w:line="640" w:lineRule="exact"/>
        <w:ind w:firstLine="640"/>
        <w:jc w:val="both"/>
        <w:outlineLvl w:val="2"/>
      </w:pPr>
      <w:r>
        <w:rPr>
          <w:rFonts w:ascii="黑体" w:hAnsi="黑体" w:eastAsia="黑体"/>
          <w:sz w:val="32"/>
        </w:rPr>
        <w:t>八、国有资本经营预算财政拨款收入支出决算情况说明</w:t>
      </w:r>
    </w:p>
    <w:p w14:paraId="09C0359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8A19C35">
      <w:pPr>
        <w:spacing w:line="640" w:lineRule="exact"/>
        <w:ind w:firstLine="640"/>
        <w:jc w:val="both"/>
        <w:outlineLvl w:val="2"/>
      </w:pPr>
      <w:r>
        <w:rPr>
          <w:rFonts w:ascii="黑体" w:hAnsi="黑体" w:eastAsia="黑体"/>
          <w:sz w:val="32"/>
        </w:rPr>
        <w:t>九、财政拨款“三公”经费支出决算情况说明</w:t>
      </w:r>
    </w:p>
    <w:p w14:paraId="3ED77113">
      <w:pPr>
        <w:spacing w:line="580" w:lineRule="exact"/>
        <w:ind w:firstLine="640"/>
        <w:jc w:val="both"/>
      </w:pPr>
      <w:r>
        <w:rPr>
          <w:rFonts w:ascii="仿宋_GB2312" w:hAnsi="仿宋_GB2312" w:eastAsia="仿宋_GB2312"/>
          <w:b/>
          <w:sz w:val="32"/>
        </w:rPr>
        <w:t>2024年度财政拨款“三公”经费支出0.20万元，</w:t>
      </w:r>
      <w:r>
        <w:rPr>
          <w:rFonts w:ascii="仿宋_GB2312" w:hAnsi="仿宋_GB2312" w:eastAsia="仿宋_GB2312"/>
          <w:b w:val="0"/>
          <w:sz w:val="32"/>
        </w:rPr>
        <w:t>比上年减少1.53万元，下降88.44%，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0.20万元，占100.00%，比上年减少1.53万元，下降88.44%，主要原因是：严格落实中央八项规定精神，厉行节约，减少公务用车运行维护费。公务接待费支出0.00万元，占0.00%，比上年增加0.00万元，增长0.00%，主要原因是：2023年与2024年均未安排公务接待费支出。</w:t>
      </w:r>
    </w:p>
    <w:p w14:paraId="5B9CA6FD">
      <w:pPr>
        <w:spacing w:line="580" w:lineRule="exact"/>
        <w:ind w:firstLine="640"/>
        <w:jc w:val="both"/>
      </w:pPr>
      <w:r>
        <w:rPr>
          <w:rFonts w:ascii="仿宋_GB2312" w:hAnsi="仿宋_GB2312" w:eastAsia="仿宋_GB2312"/>
          <w:b/>
          <w:sz w:val="32"/>
        </w:rPr>
        <w:t>具体情况如下：</w:t>
      </w:r>
    </w:p>
    <w:p w14:paraId="73459BD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90BE330">
      <w:pPr>
        <w:spacing w:line="580" w:lineRule="exact"/>
        <w:ind w:firstLine="640"/>
        <w:jc w:val="both"/>
      </w:pPr>
      <w:r>
        <w:rPr>
          <w:rFonts w:ascii="仿宋_GB2312" w:hAnsi="仿宋_GB2312" w:eastAsia="仿宋_GB2312"/>
          <w:b w:val="0"/>
          <w:sz w:val="32"/>
        </w:rPr>
        <w:t>公务用车购置及运行维护费0.20万元，其中：公务用车购置费0.00万元，公务用车运行维护费0.20万元。公务用车运行维护费开支内容包括车辆加油费、维修费。公务用车购置数0辆，公务用车保有量1辆。国有资产占用情况中固定资产车辆1辆，与公务用车保有量差异原因是：本单位固定资产车辆与公务用车保有量一致无差异。</w:t>
      </w:r>
    </w:p>
    <w:p w14:paraId="2D726A00">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09853F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0.20万元，决算数0.20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0.20万元，决算数0.20万元，预决算差异率0.00%，主要原因是：严格按照预算执行，预决算无差异。公务接待费全年预算数0.00万元，决算数0.00万元，预决算差异率0.00%，主要原因是：本单位无公务接待费。</w:t>
      </w:r>
    </w:p>
    <w:p w14:paraId="4E4E192E">
      <w:pPr>
        <w:spacing w:line="640" w:lineRule="exact"/>
        <w:ind w:firstLine="640"/>
        <w:jc w:val="both"/>
        <w:outlineLvl w:val="2"/>
      </w:pPr>
      <w:r>
        <w:rPr>
          <w:rFonts w:ascii="黑体" w:hAnsi="黑体" w:eastAsia="黑体"/>
          <w:sz w:val="32"/>
        </w:rPr>
        <w:t>十、其他重要事项的情况说明</w:t>
      </w:r>
    </w:p>
    <w:p w14:paraId="48BC3612">
      <w:pPr>
        <w:spacing w:line="640" w:lineRule="exact"/>
        <w:ind w:firstLine="640"/>
        <w:jc w:val="both"/>
        <w:outlineLvl w:val="3"/>
      </w:pPr>
      <w:r>
        <w:rPr>
          <w:rFonts w:ascii="楷体_GB2312" w:hAnsi="楷体_GB2312" w:eastAsia="楷体_GB2312"/>
          <w:b/>
          <w:sz w:val="32"/>
        </w:rPr>
        <w:t>（一）机关运行经费及公用经费支出情况</w:t>
      </w:r>
    </w:p>
    <w:p w14:paraId="5F0BED8F">
      <w:pPr>
        <w:spacing w:line="580" w:lineRule="exact"/>
        <w:ind w:firstLine="640"/>
        <w:jc w:val="both"/>
      </w:pPr>
      <w:r>
        <w:rPr>
          <w:rFonts w:ascii="仿宋_GB2312" w:hAnsi="仿宋_GB2312" w:eastAsia="仿宋_GB2312"/>
          <w:b w:val="0"/>
          <w:sz w:val="32"/>
        </w:rPr>
        <w:t>2024年度托里县融媒体中心（广播电视台）（事业单位）公用经费支出19.13万元，比上年增加0.75万元，增长4.08%，主要原因是：本年更新、维护补充办公用品，导致公用经费较上年增加。</w:t>
      </w:r>
    </w:p>
    <w:p w14:paraId="0D46ED8F">
      <w:pPr>
        <w:spacing w:line="640" w:lineRule="exact"/>
        <w:ind w:firstLine="640"/>
        <w:jc w:val="both"/>
        <w:outlineLvl w:val="3"/>
      </w:pPr>
      <w:r>
        <w:rPr>
          <w:rFonts w:ascii="楷体_GB2312" w:hAnsi="楷体_GB2312" w:eastAsia="楷体_GB2312"/>
          <w:b/>
          <w:sz w:val="32"/>
        </w:rPr>
        <w:t>（二）政府采购情况</w:t>
      </w:r>
    </w:p>
    <w:p w14:paraId="3FE13C8A">
      <w:pPr>
        <w:spacing w:line="580" w:lineRule="exact"/>
        <w:ind w:firstLine="640"/>
        <w:jc w:val="both"/>
      </w:pPr>
      <w:r>
        <w:rPr>
          <w:rFonts w:ascii="仿宋_GB2312" w:hAnsi="仿宋_GB2312" w:eastAsia="仿宋_GB2312"/>
          <w:b w:val="0"/>
          <w:sz w:val="32"/>
        </w:rPr>
        <w:t>2024年度政府采购支出总额169.82万元，其中：政府采购货物支出169.82万元、政府采购工程支出0.00万元、政府采购服务支出0.00万元。</w:t>
      </w:r>
    </w:p>
    <w:p w14:paraId="1B5F36D6">
      <w:pPr>
        <w:spacing w:line="580" w:lineRule="exact"/>
        <w:ind w:firstLine="640"/>
        <w:jc w:val="both"/>
      </w:pPr>
      <w:r>
        <w:rPr>
          <w:rFonts w:ascii="仿宋_GB2312" w:hAnsi="仿宋_GB2312" w:eastAsia="仿宋_GB2312"/>
          <w:b w:val="0"/>
          <w:sz w:val="32"/>
        </w:rPr>
        <w:t>授予中小企业合同金额169.82万元，占政府采购支出总额的100.00%，其中：授予小微企业合同金额169.82万元，占政府采购支出总额的100.00%。</w:t>
      </w:r>
    </w:p>
    <w:p w14:paraId="58C1A726">
      <w:pPr>
        <w:spacing w:line="640" w:lineRule="exact"/>
        <w:ind w:firstLine="640"/>
        <w:jc w:val="both"/>
        <w:outlineLvl w:val="3"/>
      </w:pPr>
      <w:r>
        <w:rPr>
          <w:rFonts w:ascii="楷体_GB2312" w:hAnsi="楷体_GB2312" w:eastAsia="楷体_GB2312"/>
          <w:b/>
          <w:sz w:val="32"/>
        </w:rPr>
        <w:t>（三）国有资产占用情况说明</w:t>
      </w:r>
    </w:p>
    <w:p w14:paraId="087C0E71">
      <w:pPr>
        <w:spacing w:line="580" w:lineRule="exact"/>
        <w:ind w:firstLine="640"/>
        <w:jc w:val="both"/>
      </w:pPr>
      <w:r>
        <w:rPr>
          <w:rFonts w:ascii="仿宋_GB2312" w:hAnsi="仿宋_GB2312" w:eastAsia="仿宋_GB2312"/>
          <w:b w:val="0"/>
          <w:sz w:val="32"/>
        </w:rPr>
        <w:t>截至2024年12月31日，房屋2,596.00平方米，价值1,328.94万元。车辆1辆，价值5.88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7B7A8415">
      <w:pPr>
        <w:spacing w:line="640" w:lineRule="exact"/>
        <w:ind w:firstLine="640"/>
        <w:jc w:val="both"/>
        <w:outlineLvl w:val="2"/>
      </w:pPr>
      <w:r>
        <w:rPr>
          <w:rFonts w:ascii="黑体" w:hAnsi="黑体" w:eastAsia="黑体"/>
          <w:sz w:val="32"/>
        </w:rPr>
        <w:t>十一、预算绩效的情况说明</w:t>
      </w:r>
    </w:p>
    <w:p w14:paraId="246F3458">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689.52万元，实际执行总额689.51万元；预算绩效评价项目2个，全年预算数125.69万元，全年执行数125.69万元。预算绩效管理取得的成效：一是制定专项资金管理制度；二是各专项资金建立了专账；三是制定了项目实施方案；四是认真组织项目验收。切实保证专项资金都做到了专款专用。发现的问题及原因：（一）绩效指标设置不够明确。</w:t>
      </w:r>
      <w:r>
        <w:rPr>
          <w:rFonts w:hint="eastAsia" w:ascii="仿宋_GB2312" w:hAnsi="仿宋_GB2312" w:eastAsia="仿宋_GB2312"/>
          <w:b w:val="0"/>
          <w:sz w:val="32"/>
          <w:lang w:eastAsia="zh-CN"/>
        </w:rPr>
        <w:t>本单位</w:t>
      </w:r>
      <w:r>
        <w:rPr>
          <w:rFonts w:ascii="仿宋_GB2312" w:hAnsi="仿宋_GB2312" w:eastAsia="仿宋_GB2312"/>
          <w:b w:val="0"/>
          <w:sz w:val="32"/>
        </w:rPr>
        <w:t>部分绩效指标设置存在不够精简、指标数据无法统计和指标值设置过低等问题，部分项目绩效指标值设定为定性的指标，指标设置的科学性、合理性有待进一步提高。（二）固定资产账务管理不够细致、严谨。抽查发现，各单位固定资产账务管理普遍存在入账不及时、漏入、入账信息、金额不准确或资产台账未登记到具体使用人等问题。下一步改进措施：（一）强化部门绩效管理体系建设。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二）加强固定资产账务管理，确保账实相符。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具体附整体支出绩效自评表，项目支出绩效自评表和评价报告。</w:t>
      </w:r>
    </w:p>
    <w:p w14:paraId="7E22107B">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4C4F045F">
        <w:tblPrEx>
          <w:tblCellMar>
            <w:top w:w="0" w:type="dxa"/>
            <w:left w:w="108" w:type="dxa"/>
            <w:bottom w:w="0" w:type="dxa"/>
            <w:right w:w="108" w:type="dxa"/>
          </w:tblCellMar>
        </w:tblPrEx>
        <w:tc>
          <w:tcPr>
            <w:tcW w:w="8840" w:type="dxa"/>
            <w:gridSpan w:val="8"/>
            <w:vAlign w:val="center"/>
          </w:tcPr>
          <w:p w14:paraId="6BD0CA01">
            <w:pPr>
              <w:jc w:val="center"/>
            </w:pPr>
            <w:r>
              <w:rPr>
                <w:rFonts w:ascii="宋体" w:hAnsi="宋体" w:eastAsia="宋体"/>
                <w:sz w:val="24"/>
              </w:rPr>
              <w:t>单位整体支出绩效自评表</w:t>
            </w:r>
          </w:p>
        </w:tc>
      </w:tr>
      <w:tr w14:paraId="6342A8E1">
        <w:tblPrEx>
          <w:tblCellMar>
            <w:top w:w="0" w:type="dxa"/>
            <w:left w:w="108" w:type="dxa"/>
            <w:bottom w:w="0" w:type="dxa"/>
            <w:right w:w="108" w:type="dxa"/>
          </w:tblCellMar>
        </w:tblPrEx>
        <w:tc>
          <w:tcPr>
            <w:tcW w:w="8840" w:type="dxa"/>
            <w:gridSpan w:val="8"/>
            <w:vAlign w:val="center"/>
          </w:tcPr>
          <w:p w14:paraId="34311B1A">
            <w:pPr>
              <w:jc w:val="center"/>
            </w:pPr>
            <w:r>
              <w:rPr>
                <w:rFonts w:ascii="宋体" w:hAnsi="宋体" w:eastAsia="宋体"/>
                <w:sz w:val="24"/>
              </w:rPr>
              <w:t>（2024年度）</w:t>
            </w:r>
          </w:p>
        </w:tc>
      </w:tr>
      <w:tr w14:paraId="5A34697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C15BEF">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0160B2">
            <w:pPr>
              <w:jc w:val="center"/>
            </w:pPr>
            <w:r>
              <w:rPr>
                <w:rFonts w:ascii="宋体" w:hAnsi="宋体" w:eastAsia="宋体"/>
                <w:sz w:val="16"/>
              </w:rPr>
              <w:t>托里县融媒体中心（广播电视台）</w:t>
            </w:r>
          </w:p>
        </w:tc>
      </w:tr>
      <w:tr w14:paraId="494958F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53031B">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2461B8">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0EAB24">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E90B4A">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0F516F">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217514">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446794">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42E89B">
            <w:pPr>
              <w:jc w:val="center"/>
            </w:pPr>
            <w:r>
              <w:rPr>
                <w:rFonts w:ascii="宋体" w:hAnsi="宋体" w:eastAsia="宋体"/>
                <w:sz w:val="16"/>
              </w:rPr>
              <w:t>得分</w:t>
            </w:r>
          </w:p>
        </w:tc>
      </w:tr>
      <w:tr w14:paraId="22EA91F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B64F1E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EE208F">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A13421">
            <w:pPr>
              <w:jc w:val="center"/>
            </w:pPr>
            <w:r>
              <w:rPr>
                <w:rFonts w:ascii="宋体" w:hAnsi="宋体" w:eastAsia="宋体"/>
                <w:sz w:val="16"/>
              </w:rPr>
              <w:t>640.53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B1B8C2">
            <w:pPr>
              <w:jc w:val="center"/>
            </w:pPr>
            <w:r>
              <w:rPr>
                <w:rFonts w:ascii="宋体" w:hAnsi="宋体" w:eastAsia="宋体"/>
                <w:sz w:val="16"/>
              </w:rPr>
              <w:t>689.52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89F197">
            <w:pPr>
              <w:jc w:val="center"/>
            </w:pPr>
            <w:r>
              <w:rPr>
                <w:rFonts w:ascii="宋体" w:hAnsi="宋体" w:eastAsia="宋体"/>
                <w:sz w:val="16"/>
              </w:rPr>
              <w:t>689.51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47830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93EBC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5EE94A">
            <w:pPr>
              <w:jc w:val="center"/>
            </w:pPr>
            <w:r>
              <w:rPr>
                <w:rFonts w:ascii="宋体" w:hAnsi="宋体" w:eastAsia="宋体"/>
                <w:sz w:val="16"/>
              </w:rPr>
              <w:t>9.9</w:t>
            </w:r>
          </w:p>
        </w:tc>
      </w:tr>
      <w:tr w14:paraId="002B531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F4639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1A1F4F">
            <w:pPr>
              <w:jc w:val="center"/>
            </w:pPr>
            <w:r>
              <w:rPr>
                <w:rFonts w:ascii="宋体" w:hAnsi="宋体" w:eastAsia="宋体"/>
                <w:sz w:val="16"/>
              </w:rPr>
              <w:t>其中</w:t>
            </w:r>
            <w:r>
              <w:rPr>
                <w:rFonts w:hint="eastAsia" w:ascii="宋体" w:hAnsi="宋体"/>
                <w:sz w:val="16"/>
                <w:lang w:eastAsia="zh-CN"/>
              </w:rPr>
              <w:t>：</w:t>
            </w:r>
            <w:r>
              <w:rPr>
                <w:rFonts w:ascii="宋体" w:hAnsi="宋体" w:eastAsia="宋体"/>
                <w:sz w:val="16"/>
              </w:rPr>
              <w:t>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C1669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869DA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21D41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C3ABB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34163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AC1707">
            <w:pPr>
              <w:jc w:val="center"/>
            </w:pPr>
            <w:r>
              <w:rPr>
                <w:rFonts w:ascii="宋体" w:hAnsi="宋体" w:eastAsia="宋体"/>
                <w:sz w:val="16"/>
              </w:rPr>
              <w:t>-</w:t>
            </w:r>
          </w:p>
        </w:tc>
      </w:tr>
      <w:tr w14:paraId="1027A5B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045959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F11FDF">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F3CADE">
            <w:pPr>
              <w:jc w:val="center"/>
            </w:pPr>
            <w:r>
              <w:rPr>
                <w:rFonts w:ascii="宋体" w:hAnsi="宋体" w:eastAsia="宋体"/>
                <w:sz w:val="16"/>
              </w:rPr>
              <w:t>640.53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DA43AA">
            <w:pPr>
              <w:jc w:val="center"/>
            </w:pPr>
            <w:r>
              <w:rPr>
                <w:rFonts w:ascii="宋体" w:hAnsi="宋体" w:eastAsia="宋体"/>
                <w:sz w:val="16"/>
              </w:rPr>
              <w:t>689.52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056F0C">
            <w:pPr>
              <w:jc w:val="center"/>
            </w:pPr>
            <w:r>
              <w:rPr>
                <w:rFonts w:ascii="宋体" w:hAnsi="宋体" w:eastAsia="宋体"/>
                <w:sz w:val="16"/>
              </w:rPr>
              <w:t>689.51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A200E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3BAB5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177FD7">
            <w:pPr>
              <w:jc w:val="center"/>
            </w:pPr>
            <w:r>
              <w:rPr>
                <w:rFonts w:ascii="宋体" w:hAnsi="宋体" w:eastAsia="宋体"/>
                <w:sz w:val="16"/>
              </w:rPr>
              <w:t>-</w:t>
            </w:r>
          </w:p>
        </w:tc>
      </w:tr>
      <w:tr w14:paraId="11F1D6A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7DAB94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AC54BD">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061ED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38D0B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207DE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09EF8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63AB3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53E7B7">
            <w:pPr>
              <w:jc w:val="center"/>
            </w:pPr>
            <w:r>
              <w:rPr>
                <w:rFonts w:ascii="宋体" w:hAnsi="宋体" w:eastAsia="宋体"/>
                <w:sz w:val="16"/>
              </w:rPr>
              <w:t>-</w:t>
            </w:r>
          </w:p>
        </w:tc>
      </w:tr>
      <w:tr w14:paraId="542ACA6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2C2994">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8C78E34">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BAA2877">
            <w:pPr>
              <w:jc w:val="center"/>
            </w:pPr>
            <w:r>
              <w:rPr>
                <w:rFonts w:ascii="宋体" w:hAnsi="宋体" w:eastAsia="宋体"/>
                <w:sz w:val="16"/>
              </w:rPr>
              <w:t>实际完成情况</w:t>
            </w:r>
          </w:p>
        </w:tc>
      </w:tr>
      <w:tr w14:paraId="154C9DC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AAD3626"/>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C3A9AEC">
            <w:pPr>
              <w:jc w:val="both"/>
              <w:rPr>
                <w:rFonts w:ascii="宋体" w:hAnsi="宋体" w:eastAsia="宋体"/>
                <w:sz w:val="16"/>
              </w:rPr>
            </w:pPr>
            <w:r>
              <w:rPr>
                <w:rFonts w:ascii="宋体" w:hAnsi="宋体" w:eastAsia="宋体"/>
                <w:sz w:val="16"/>
              </w:rPr>
              <w:t>2024年，县融媒体中心将始终坚持以习近平新时代中国特色社会主义思想为指导，深入贯彻落实习近平总书记关于宣传文化思想和媒体深度融合等工作的重要讲话指示精神，着眼未来，改革创新，力求在推进媒体深度融合发展上取得新成效。为此，2024年我们将重点做好以下四个方面的工作：</w:t>
            </w:r>
          </w:p>
          <w:p w14:paraId="4CF7B564">
            <w:pPr>
              <w:jc w:val="both"/>
              <w:rPr>
                <w:rFonts w:ascii="宋体" w:hAnsi="宋体" w:eastAsia="宋体"/>
                <w:sz w:val="16"/>
              </w:rPr>
            </w:pPr>
            <w:r>
              <w:rPr>
                <w:rFonts w:ascii="宋体" w:hAnsi="宋体" w:eastAsia="宋体"/>
                <w:sz w:val="16"/>
              </w:rPr>
              <w:t>一是坚持移动先行，加快推进媒体深度融合。聚力推动移动客户端优先发展，重点做响做强“托里融媒”微信公众号和视频号、“托里好地方”客户端等平台。强化与央视、自治区等主流媒体的深度合作，积极探索“媒体+”融合转型新路径，努力实现从“渠道、内容、受众”为核心的传统媒体模式转型为“连接、服务、用户”为核心的新型媒体模式。</w:t>
            </w:r>
          </w:p>
          <w:p w14:paraId="6CB566B7">
            <w:pPr>
              <w:jc w:val="both"/>
              <w:rPr>
                <w:rFonts w:ascii="宋体" w:hAnsi="宋体" w:eastAsia="宋体"/>
                <w:sz w:val="16"/>
              </w:rPr>
            </w:pPr>
            <w:r>
              <w:rPr>
                <w:rFonts w:ascii="宋体" w:hAnsi="宋体" w:eastAsia="宋体"/>
                <w:sz w:val="16"/>
              </w:rPr>
              <w:t>二是坚持守正创新，认真做好主题宣传报道。围绕自治区党委、地委、县委决策部署等重大主题、重大典型、重大活动，精心谋划，守正创新，推出专题专栏，传播托里好声音，讲好托里故事。</w:t>
            </w:r>
          </w:p>
          <w:p w14:paraId="07EBF7D5">
            <w:pPr>
              <w:jc w:val="both"/>
              <w:rPr>
                <w:rFonts w:ascii="宋体" w:hAnsi="宋体" w:eastAsia="宋体"/>
                <w:sz w:val="16"/>
              </w:rPr>
            </w:pPr>
            <w:r>
              <w:rPr>
                <w:rFonts w:ascii="宋体" w:hAnsi="宋体" w:eastAsia="宋体"/>
                <w:sz w:val="16"/>
              </w:rPr>
              <w:t>三是始终坚持把队伍建设放在重要位置，打造一支“政治过硬、素质过硬、业绩过硬”的新闻铁军。一方面坚持党建引领，发挥党支部战斗堡垒和党员先锋模范作用，着力构建党建工作与队伍建设同向发力、同频共振的良好局面；另一方面坚持实战练兵，强化“业务+队伍”意识，提升队伍的“团队+新闻”能力，坚持“走出去”机制，实现队伍和业务“双提升”目标。</w:t>
            </w:r>
          </w:p>
          <w:p w14:paraId="396F30A2">
            <w:pPr>
              <w:jc w:val="both"/>
            </w:pPr>
            <w:r>
              <w:rPr>
                <w:rFonts w:ascii="宋体" w:hAnsi="宋体" w:eastAsia="宋体"/>
                <w:sz w:val="16"/>
              </w:rPr>
              <w:t>四是压紧压实责任，坚决守牢意识形态安全。按照党管意识形态工作要求，加强政治理论学习，强化理论武装，提升做好意识形态工作的能力水平。严格落实内容播出播发 “三审三校”“重播重审”责任制，确保导向正确。加强设备设施和传输网络的巡查维护，确保传输安全。</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C79155C">
            <w:pPr>
              <w:jc w:val="both"/>
              <w:rPr>
                <w:rFonts w:ascii="宋体" w:hAnsi="宋体" w:eastAsia="宋体"/>
                <w:sz w:val="16"/>
              </w:rPr>
            </w:pPr>
            <w:r>
              <w:rPr>
                <w:rFonts w:ascii="宋体" w:hAnsi="宋体" w:eastAsia="宋体"/>
                <w:sz w:val="16"/>
              </w:rPr>
              <w:t>2024年，县融媒体中心将始终坚持以习近平新时代中国特色社会主义思想为指导，深入贯彻落实习近平总书记关于宣传文化思想和媒体深度融合等工作的重要讲话指示精神，着眼未来，改革创新，力求在推进媒体深度融合发展上取得新成效。为此，2024年我们将重点做好以下四个方面的工作：</w:t>
            </w:r>
          </w:p>
          <w:p w14:paraId="30AE266E">
            <w:pPr>
              <w:jc w:val="both"/>
              <w:rPr>
                <w:rFonts w:ascii="宋体" w:hAnsi="宋体" w:eastAsia="宋体"/>
                <w:sz w:val="16"/>
              </w:rPr>
            </w:pPr>
            <w:r>
              <w:rPr>
                <w:rFonts w:ascii="宋体" w:hAnsi="宋体" w:eastAsia="宋体"/>
                <w:sz w:val="16"/>
              </w:rPr>
              <w:t>一是坚持移动先行，加快推进媒体深度融合。聚力推动移动客户端优先发展，重点做响做强“托里融媒”微信公众号和视频号、“托里好地方”客户端等平台。强化与央视、自治区等主流媒体的深度合作，积极探索“媒体+”融合转型新路径，努力实现从“渠道、内容、受众”为核心的传统媒体模式转型为“连接、服务、用户”为核心的新型媒体模式。县级融媒体中心各类服务活动覆盖率100%。</w:t>
            </w:r>
          </w:p>
          <w:p w14:paraId="4C89F992">
            <w:pPr>
              <w:jc w:val="both"/>
              <w:rPr>
                <w:rFonts w:ascii="宋体" w:hAnsi="宋体" w:eastAsia="宋体"/>
                <w:sz w:val="16"/>
              </w:rPr>
            </w:pPr>
            <w:r>
              <w:rPr>
                <w:rFonts w:ascii="宋体" w:hAnsi="宋体" w:eastAsia="宋体"/>
                <w:sz w:val="16"/>
              </w:rPr>
              <w:t>二是坚持守正创新，认真做好主题宣传报道。围绕自治区党委、地委、县委决策部署等重大主题、重大典型、重大活动，精心谋划，守正创新，推出专题专栏，传播托里好声音，讲好托里故事，融媒体中心对涉疆宣传数量50部。节目创新创优工作获奖率80%。</w:t>
            </w:r>
          </w:p>
          <w:p w14:paraId="4D9B5613">
            <w:pPr>
              <w:jc w:val="both"/>
              <w:rPr>
                <w:rFonts w:ascii="宋体" w:hAnsi="宋体" w:eastAsia="宋体"/>
                <w:sz w:val="16"/>
              </w:rPr>
            </w:pPr>
            <w:r>
              <w:rPr>
                <w:rFonts w:ascii="宋体" w:hAnsi="宋体" w:eastAsia="宋体"/>
                <w:sz w:val="16"/>
              </w:rPr>
              <w:t>三是始终坚持把队伍建设放在重要位置，打造一支“政治过硬、素质过硬、业绩过硬”的新闻铁军。一方面坚持党建引领，发挥党支部战斗堡垒和党员先锋模范作用，着力构建党建工作与队伍建设同向发力、同频共振的良好局面；另一方面坚持实战练兵，强化“业务+队伍”意识，提升队伍的“团队+新闻”能力，坚持“走出去”机制，实现队伍和业务“双提升”目标，广播电视和播出新闻稿件作品数量1073条， 促进基层团结稳定宣传率100%。</w:t>
            </w:r>
          </w:p>
          <w:p w14:paraId="05ABD62A">
            <w:pPr>
              <w:jc w:val="both"/>
            </w:pPr>
            <w:r>
              <w:rPr>
                <w:rFonts w:ascii="宋体" w:hAnsi="宋体" w:eastAsia="宋体"/>
                <w:sz w:val="16"/>
              </w:rPr>
              <w:t>四是压紧压实责任，坚决守牢意识形态安全。按照党管意识形态工作要求，加强政治理论学习，强化理论武装，提升做好意识形态工作的能力水平。严格落实内容播出播发 “三审三校”“重播重审”责任制，确保导向正确。加强设备设施和传输网络的巡查维护，确保传输安全。</w:t>
            </w:r>
          </w:p>
        </w:tc>
      </w:tr>
      <w:tr w14:paraId="53D1BF4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69626E">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655C1C">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3DB32D">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0EB22B">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E8A7CB">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429A8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D706DE">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2A0BB4">
            <w:pPr>
              <w:jc w:val="center"/>
            </w:pPr>
            <w:r>
              <w:rPr>
                <w:rFonts w:ascii="宋体" w:hAnsi="宋体" w:eastAsia="宋体"/>
                <w:sz w:val="16"/>
              </w:rPr>
              <w:t>得分</w:t>
            </w:r>
          </w:p>
        </w:tc>
      </w:tr>
      <w:tr w14:paraId="4B67681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C7C970">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2FEC38">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0CBE1F">
            <w:pPr>
              <w:jc w:val="center"/>
            </w:pPr>
            <w:r>
              <w:rPr>
                <w:rFonts w:ascii="宋体" w:hAnsi="宋体" w:eastAsia="宋体"/>
                <w:sz w:val="16"/>
              </w:rPr>
              <w:t>融媒体中心对涉疆宣传数量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FE137B">
            <w:pPr>
              <w:jc w:val="center"/>
            </w:pPr>
            <w:r>
              <w:rPr>
                <w:rFonts w:ascii="宋体" w:hAnsi="宋体" w:eastAsia="宋体"/>
                <w:sz w:val="16"/>
              </w:rPr>
              <w:t>&gt;=50部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DCD691">
            <w:pPr>
              <w:jc w:val="center"/>
            </w:pPr>
            <w:r>
              <w:rPr>
                <w:rFonts w:ascii="宋体" w:hAnsi="宋体" w:eastAsia="宋体"/>
                <w:sz w:val="16"/>
              </w:rPr>
              <w:t>年度工作报告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BFA203">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2809D7">
            <w:pPr>
              <w:jc w:val="center"/>
            </w:pPr>
            <w:r>
              <w:rPr>
                <w:rFonts w:ascii="宋体" w:hAnsi="宋体" w:eastAsia="宋体"/>
                <w:sz w:val="16"/>
              </w:rPr>
              <w:t>50部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C4E1B5">
            <w:pPr>
              <w:jc w:val="center"/>
            </w:pPr>
            <w:r>
              <w:rPr>
                <w:rFonts w:ascii="宋体" w:hAnsi="宋体" w:eastAsia="宋体"/>
                <w:sz w:val="16"/>
              </w:rPr>
              <w:t>20</w:t>
            </w:r>
          </w:p>
        </w:tc>
      </w:tr>
      <w:tr w14:paraId="4181794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CC20D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211934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C2C4EF">
            <w:pPr>
              <w:jc w:val="center"/>
            </w:pPr>
            <w:r>
              <w:rPr>
                <w:rFonts w:ascii="宋体" w:hAnsi="宋体" w:eastAsia="宋体"/>
                <w:sz w:val="16"/>
              </w:rPr>
              <w:t>广播电视和播出新闻稿件作品数量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63552D">
            <w:pPr>
              <w:jc w:val="center"/>
            </w:pPr>
            <w:r>
              <w:rPr>
                <w:rFonts w:ascii="宋体" w:hAnsi="宋体" w:eastAsia="宋体"/>
                <w:sz w:val="16"/>
              </w:rPr>
              <w:t>&gt;=1035条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B6A76A">
            <w:pPr>
              <w:jc w:val="center"/>
            </w:pPr>
            <w:r>
              <w:rPr>
                <w:rFonts w:ascii="宋体" w:hAnsi="宋体" w:eastAsia="宋体"/>
                <w:sz w:val="16"/>
              </w:rPr>
              <w:t>年度工作报告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4ADB3A">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66211B">
            <w:pPr>
              <w:jc w:val="center"/>
            </w:pPr>
            <w:r>
              <w:rPr>
                <w:rFonts w:ascii="宋体" w:hAnsi="宋体" w:eastAsia="宋体"/>
                <w:sz w:val="16"/>
              </w:rPr>
              <w:t>1073条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4C3528">
            <w:pPr>
              <w:jc w:val="center"/>
            </w:pPr>
            <w:r>
              <w:rPr>
                <w:rFonts w:ascii="宋体" w:hAnsi="宋体" w:eastAsia="宋体"/>
                <w:sz w:val="16"/>
              </w:rPr>
              <w:t>20</w:t>
            </w:r>
          </w:p>
        </w:tc>
      </w:tr>
      <w:tr w14:paraId="76F091A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47E2AFB"/>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C6AD2C">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41B7DE">
            <w:pPr>
              <w:jc w:val="center"/>
            </w:pPr>
            <w:r>
              <w:rPr>
                <w:rFonts w:ascii="宋体" w:hAnsi="宋体" w:eastAsia="宋体"/>
                <w:sz w:val="16"/>
              </w:rPr>
              <w:t>节目创新创优工作获奖率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A44274">
            <w:pPr>
              <w:jc w:val="center"/>
            </w:pPr>
            <w:r>
              <w:rPr>
                <w:rFonts w:ascii="宋体" w:hAnsi="宋体" w:eastAsia="宋体"/>
                <w:sz w:val="16"/>
              </w:rPr>
              <w:t>&gt;=80%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E4E394">
            <w:pPr>
              <w:jc w:val="center"/>
            </w:pPr>
            <w:r>
              <w:rPr>
                <w:rFonts w:ascii="宋体" w:hAnsi="宋体" w:eastAsia="宋体"/>
                <w:sz w:val="16"/>
              </w:rPr>
              <w:t>年度工作总结</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9BAF93">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F79341">
            <w:pPr>
              <w:jc w:val="center"/>
            </w:pPr>
            <w:r>
              <w:rPr>
                <w:rFonts w:ascii="宋体" w:hAnsi="宋体" w:eastAsia="宋体"/>
                <w:sz w:val="16"/>
              </w:rPr>
              <w:t>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C2115E">
            <w:pPr>
              <w:jc w:val="center"/>
            </w:pPr>
            <w:r>
              <w:rPr>
                <w:rFonts w:ascii="宋体" w:hAnsi="宋体" w:eastAsia="宋体"/>
                <w:sz w:val="16"/>
              </w:rPr>
              <w:t>20</w:t>
            </w:r>
          </w:p>
        </w:tc>
      </w:tr>
      <w:tr w14:paraId="6F122DA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4CB1F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1BC214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CB3104">
            <w:pPr>
              <w:jc w:val="center"/>
            </w:pPr>
            <w:r>
              <w:rPr>
                <w:rFonts w:ascii="宋体" w:hAnsi="宋体" w:eastAsia="宋体"/>
                <w:sz w:val="16"/>
              </w:rPr>
              <w:t>促进基层团结稳定宣传率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64C0B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F2E281">
            <w:pPr>
              <w:jc w:val="center"/>
            </w:pPr>
            <w:r>
              <w:rPr>
                <w:rFonts w:ascii="宋体" w:hAnsi="宋体" w:eastAsia="宋体"/>
                <w:sz w:val="16"/>
              </w:rPr>
              <w:t>年度工作报告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2D017A">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76130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B96CB5">
            <w:pPr>
              <w:jc w:val="center"/>
            </w:pPr>
            <w:r>
              <w:rPr>
                <w:rFonts w:ascii="宋体" w:hAnsi="宋体" w:eastAsia="宋体"/>
                <w:sz w:val="16"/>
              </w:rPr>
              <w:t>15</w:t>
            </w:r>
          </w:p>
        </w:tc>
      </w:tr>
      <w:tr w14:paraId="226CF19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0FBB6F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4B925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3FBC76">
            <w:pPr>
              <w:jc w:val="center"/>
            </w:pPr>
            <w:r>
              <w:rPr>
                <w:rFonts w:ascii="宋体" w:hAnsi="宋体" w:eastAsia="宋体"/>
                <w:sz w:val="16"/>
              </w:rPr>
              <w:t>县级融媒体中心各类服务活动覆盖率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164A7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C57780">
            <w:pPr>
              <w:jc w:val="center"/>
            </w:pPr>
            <w:r>
              <w:rPr>
                <w:rFonts w:ascii="宋体" w:hAnsi="宋体" w:eastAsia="宋体"/>
                <w:sz w:val="16"/>
              </w:rPr>
              <w:t>年度工作总结</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B76AC9">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816FE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225DD7">
            <w:pPr>
              <w:jc w:val="center"/>
            </w:pPr>
            <w:r>
              <w:rPr>
                <w:rFonts w:ascii="宋体" w:hAnsi="宋体" w:eastAsia="宋体"/>
                <w:sz w:val="16"/>
              </w:rPr>
              <w:t>15</w:t>
            </w:r>
          </w:p>
        </w:tc>
      </w:tr>
    </w:tbl>
    <w:p w14:paraId="581F1F24">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5"/>
        <w:gridCol w:w="625"/>
        <w:gridCol w:w="776"/>
        <w:gridCol w:w="625"/>
        <w:gridCol w:w="625"/>
        <w:gridCol w:w="627"/>
        <w:gridCol w:w="625"/>
        <w:gridCol w:w="627"/>
        <w:gridCol w:w="696"/>
        <w:gridCol w:w="629"/>
        <w:gridCol w:w="696"/>
        <w:gridCol w:w="632"/>
      </w:tblGrid>
      <w:tr w14:paraId="7861F08F">
        <w:tblPrEx>
          <w:tblCellMar>
            <w:top w:w="0" w:type="dxa"/>
            <w:left w:w="108" w:type="dxa"/>
            <w:bottom w:w="0" w:type="dxa"/>
            <w:right w:w="108" w:type="dxa"/>
          </w:tblCellMar>
        </w:tblPrEx>
        <w:tc>
          <w:tcPr>
            <w:tcW w:w="8848" w:type="dxa"/>
            <w:gridSpan w:val="14"/>
            <w:vAlign w:val="center"/>
          </w:tcPr>
          <w:p w14:paraId="11600DD4">
            <w:pPr>
              <w:jc w:val="center"/>
            </w:pPr>
            <w:r>
              <w:rPr>
                <w:rFonts w:ascii="宋体" w:hAnsi="宋体" w:eastAsia="宋体"/>
                <w:sz w:val="24"/>
              </w:rPr>
              <w:t>项目支出绩效自评表</w:t>
            </w:r>
          </w:p>
        </w:tc>
      </w:tr>
      <w:tr w14:paraId="2959467D">
        <w:tblPrEx>
          <w:tblCellMar>
            <w:top w:w="0" w:type="dxa"/>
            <w:left w:w="108" w:type="dxa"/>
            <w:bottom w:w="0" w:type="dxa"/>
            <w:right w:w="108" w:type="dxa"/>
          </w:tblCellMar>
        </w:tblPrEx>
        <w:tc>
          <w:tcPr>
            <w:tcW w:w="8848" w:type="dxa"/>
            <w:gridSpan w:val="14"/>
            <w:vAlign w:val="center"/>
          </w:tcPr>
          <w:p w14:paraId="6F289A7D">
            <w:pPr>
              <w:jc w:val="center"/>
            </w:pPr>
            <w:r>
              <w:rPr>
                <w:rFonts w:ascii="宋体" w:hAnsi="宋体" w:eastAsia="宋体"/>
                <w:sz w:val="24"/>
              </w:rPr>
              <w:t>(2024年度)</w:t>
            </w:r>
          </w:p>
        </w:tc>
      </w:tr>
      <w:tr w14:paraId="67E7BB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348B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A319705">
            <w:pPr>
              <w:jc w:val="center"/>
            </w:pPr>
            <w:r>
              <w:rPr>
                <w:rFonts w:ascii="宋体" w:hAnsi="宋体" w:eastAsia="宋体"/>
                <w:sz w:val="16"/>
              </w:rPr>
              <w:t>2024年中央补助地方公共文化服务体系建设补助资金</w:t>
            </w:r>
          </w:p>
        </w:tc>
      </w:tr>
      <w:tr w14:paraId="3A72198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753F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E85DE9">
            <w:pPr>
              <w:jc w:val="center"/>
            </w:pPr>
            <w:r>
              <w:rPr>
                <w:rFonts w:ascii="宋体" w:hAnsi="宋体" w:eastAsia="宋体"/>
                <w:sz w:val="16"/>
              </w:rPr>
              <w:t>托里县融媒体中心（广播电视台）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F4C3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1FF8BA">
            <w:pPr>
              <w:jc w:val="center"/>
            </w:pPr>
            <w:r>
              <w:rPr>
                <w:rFonts w:ascii="宋体" w:hAnsi="宋体" w:eastAsia="宋体"/>
                <w:sz w:val="16"/>
              </w:rPr>
              <w:t>托里县融媒体中心（广播电视台）</w:t>
            </w:r>
          </w:p>
        </w:tc>
      </w:tr>
      <w:tr w14:paraId="57024B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9A536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DFA7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D98A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14D9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9E3F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1BD8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870D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97113">
            <w:pPr>
              <w:jc w:val="center"/>
            </w:pPr>
            <w:r>
              <w:rPr>
                <w:rFonts w:ascii="宋体" w:hAnsi="宋体" w:eastAsia="宋体"/>
                <w:sz w:val="16"/>
              </w:rPr>
              <w:t>得分</w:t>
            </w:r>
          </w:p>
        </w:tc>
      </w:tr>
      <w:tr w14:paraId="1FE96E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3E1FE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35E0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CACFF">
            <w:pPr>
              <w:jc w:val="center"/>
            </w:pPr>
            <w:r>
              <w:rPr>
                <w:rFonts w:ascii="宋体" w:hAnsi="宋体" w:eastAsia="宋体"/>
                <w:sz w:val="16"/>
              </w:rPr>
              <w:t>80.52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41FE0">
            <w:pPr>
              <w:jc w:val="center"/>
            </w:pPr>
            <w:r>
              <w:rPr>
                <w:rFonts w:ascii="宋体" w:hAnsi="宋体" w:eastAsia="宋体"/>
                <w:sz w:val="16"/>
              </w:rPr>
              <w:t>80.52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40F53">
            <w:pPr>
              <w:jc w:val="center"/>
            </w:pPr>
            <w:r>
              <w:rPr>
                <w:rFonts w:ascii="宋体" w:hAnsi="宋体" w:eastAsia="宋体"/>
                <w:sz w:val="16"/>
              </w:rPr>
              <w:t>80.52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719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BA24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005E1">
            <w:pPr>
              <w:jc w:val="center"/>
            </w:pPr>
            <w:r>
              <w:rPr>
                <w:rFonts w:ascii="宋体" w:hAnsi="宋体" w:eastAsia="宋体"/>
                <w:sz w:val="16"/>
              </w:rPr>
              <w:t>10.00</w:t>
            </w:r>
          </w:p>
        </w:tc>
      </w:tr>
      <w:tr w14:paraId="32780D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26D03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8DC5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3D11A">
            <w:pPr>
              <w:jc w:val="center"/>
            </w:pPr>
            <w:r>
              <w:rPr>
                <w:rFonts w:ascii="宋体" w:hAnsi="宋体" w:eastAsia="宋体"/>
                <w:sz w:val="16"/>
              </w:rPr>
              <w:t>80.52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A74A6">
            <w:pPr>
              <w:jc w:val="center"/>
            </w:pPr>
            <w:r>
              <w:rPr>
                <w:rFonts w:ascii="宋体" w:hAnsi="宋体" w:eastAsia="宋体"/>
                <w:sz w:val="16"/>
              </w:rPr>
              <w:t>80.52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9353C">
            <w:pPr>
              <w:jc w:val="center"/>
            </w:pPr>
            <w:r>
              <w:rPr>
                <w:rFonts w:ascii="宋体" w:hAnsi="宋体" w:eastAsia="宋体"/>
                <w:sz w:val="16"/>
              </w:rPr>
              <w:t>80.52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7F8B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78B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F9C8D">
            <w:pPr>
              <w:jc w:val="center"/>
            </w:pPr>
            <w:r>
              <w:rPr>
                <w:rFonts w:ascii="宋体" w:hAnsi="宋体" w:eastAsia="宋体"/>
                <w:sz w:val="16"/>
              </w:rPr>
              <w:t>—</w:t>
            </w:r>
          </w:p>
        </w:tc>
      </w:tr>
      <w:tr w14:paraId="6DB20E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AAAA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2253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9F3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8357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CB3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A510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3DA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11E5C">
            <w:pPr>
              <w:jc w:val="center"/>
            </w:pPr>
            <w:r>
              <w:rPr>
                <w:rFonts w:ascii="宋体" w:hAnsi="宋体" w:eastAsia="宋体"/>
                <w:sz w:val="16"/>
              </w:rPr>
              <w:t>—</w:t>
            </w:r>
          </w:p>
        </w:tc>
      </w:tr>
      <w:tr w14:paraId="0DB6A7F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17A4A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34C1F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70F0DB">
            <w:pPr>
              <w:jc w:val="center"/>
            </w:pPr>
            <w:r>
              <w:rPr>
                <w:rFonts w:ascii="宋体" w:hAnsi="宋体" w:eastAsia="宋体"/>
                <w:sz w:val="16"/>
              </w:rPr>
              <w:t>实际完成情况</w:t>
            </w:r>
          </w:p>
        </w:tc>
      </w:tr>
      <w:tr w14:paraId="6BF96E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59A8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72E19D">
            <w:pPr>
              <w:jc w:val="both"/>
            </w:pPr>
            <w:r>
              <w:rPr>
                <w:rFonts w:ascii="宋体" w:hAnsi="宋体" w:eastAsia="宋体"/>
                <w:sz w:val="16"/>
              </w:rPr>
              <w:t>托里县融媒体中心配套设备采购、安装及装修改造工程项目资金55.52万元，融媒体中心配套设备采购及安装9.09万元，装修改造工程项目46.43万元，通过项目的实施，有效提升政府公信力，有效降低政府债务风险，债权人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C459F3">
            <w:pPr>
              <w:jc w:val="both"/>
            </w:pPr>
            <w:r>
              <w:rPr>
                <w:rFonts w:ascii="宋体" w:hAnsi="宋体" w:eastAsia="宋体"/>
                <w:sz w:val="16"/>
              </w:rPr>
              <w:t>2024年中央补助地方公共文化服务体系建设补助资金预算资金80.52万元，截至目前，已支付资金80.52万元，项目实际完成设备采购及安装数量1个、装修改造工程数量1个、直播设备采购数量1套，任务完成率达到100%，通过项目的实施，有效提升政府公信力，有效降低政府债务风险，债权人满意度达到95%。</w:t>
            </w:r>
          </w:p>
        </w:tc>
      </w:tr>
      <w:tr w14:paraId="7E030A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B4C6F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AF76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5DBB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AF05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8456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AD5C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3C76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92F1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238D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05D4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EF97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087C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AEC9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6EDAE">
            <w:pPr>
              <w:jc w:val="center"/>
            </w:pPr>
            <w:r>
              <w:rPr>
                <w:rFonts w:ascii="宋体" w:hAnsi="宋体" w:eastAsia="宋体"/>
                <w:sz w:val="16"/>
              </w:rPr>
              <w:t>偏差原因分析及改进措施</w:t>
            </w:r>
          </w:p>
        </w:tc>
      </w:tr>
      <w:tr w14:paraId="34F5CFB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42A8D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9F2A1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DE5B6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6AAF0">
            <w:pPr>
              <w:jc w:val="center"/>
            </w:pPr>
            <w:r>
              <w:rPr>
                <w:rFonts w:ascii="宋体" w:hAnsi="宋体" w:eastAsia="宋体"/>
                <w:sz w:val="16"/>
              </w:rPr>
              <w:t>设备采购及安装数量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5B2D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196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2497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E7FB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E49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8AD9F">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9F38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906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DA33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2099F">
            <w:pPr>
              <w:jc w:val="center"/>
            </w:pPr>
          </w:p>
        </w:tc>
      </w:tr>
      <w:tr w14:paraId="63650F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7D71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B9B4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1332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49435">
            <w:pPr>
              <w:jc w:val="center"/>
            </w:pPr>
            <w:r>
              <w:rPr>
                <w:rFonts w:ascii="宋体" w:hAnsi="宋体" w:eastAsia="宋体"/>
                <w:sz w:val="16"/>
              </w:rPr>
              <w:t>装修改造工程数量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F501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82D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68B8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5F13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173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24C15">
            <w:pPr>
              <w:jc w:val="center"/>
            </w:pPr>
            <w:r>
              <w:rPr>
                <w:rFonts w:ascii="宋体" w:hAnsi="宋体" w:eastAsia="宋体"/>
                <w:sz w:val="16"/>
              </w:rPr>
              <w:t>工作资料,原始凭证,说明材料,正式材料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7367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27F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C052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3761F">
            <w:pPr>
              <w:jc w:val="center"/>
            </w:pPr>
          </w:p>
        </w:tc>
      </w:tr>
      <w:tr w14:paraId="3EDCEF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4F85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C115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B8B6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F7116">
            <w:pPr>
              <w:jc w:val="center"/>
            </w:pPr>
            <w:r>
              <w:rPr>
                <w:rFonts w:ascii="宋体" w:hAnsi="宋体" w:eastAsia="宋体"/>
                <w:sz w:val="16"/>
              </w:rPr>
              <w:t>直播设备采购数量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A8404">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841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4E10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D265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7EE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B6394">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8DBBE">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559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F6F7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F8757">
            <w:pPr>
              <w:jc w:val="center"/>
            </w:pPr>
          </w:p>
        </w:tc>
      </w:tr>
      <w:tr w14:paraId="3A1641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F8B9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8961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5822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0B52A">
            <w:pPr>
              <w:jc w:val="center"/>
            </w:pPr>
            <w:r>
              <w:rPr>
                <w:rFonts w:ascii="宋体" w:hAnsi="宋体" w:eastAsia="宋体"/>
                <w:sz w:val="16"/>
              </w:rPr>
              <w:t>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53F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95C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6C93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FB85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BE9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2FA5B">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3B4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FD3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8F97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76D88">
            <w:pPr>
              <w:jc w:val="center"/>
            </w:pPr>
          </w:p>
        </w:tc>
      </w:tr>
      <w:tr w14:paraId="0F1239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3069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D5C0C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57D07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6F2C6">
            <w:pPr>
              <w:jc w:val="center"/>
            </w:pPr>
            <w:r>
              <w:rPr>
                <w:rFonts w:ascii="宋体" w:hAnsi="宋体" w:eastAsia="宋体"/>
                <w:sz w:val="16"/>
              </w:rPr>
              <w:t>年度化债及时率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D29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423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6235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F9AB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2E5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B09DE">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2E5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605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A850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8591B">
            <w:pPr>
              <w:jc w:val="center"/>
            </w:pPr>
          </w:p>
        </w:tc>
      </w:tr>
      <w:tr w14:paraId="7FB199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DF3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668D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29C8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C3BD5">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BAD6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911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555E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BA12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BE8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6E273">
            <w:pPr>
              <w:jc w:val="center"/>
            </w:pPr>
            <w:r>
              <w:rPr>
                <w:rFonts w:ascii="宋体" w:hAnsi="宋体" w:eastAsia="宋体"/>
                <w:sz w:val="16"/>
              </w:rPr>
              <w:t>原始凭证,工作资料,正式材料,说明材料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B773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68D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CFF9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8AD4F">
            <w:pPr>
              <w:jc w:val="center"/>
            </w:pPr>
          </w:p>
        </w:tc>
      </w:tr>
      <w:tr w14:paraId="3FC3E3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CF3FE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1EF9F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CD88C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BD73B">
            <w:pPr>
              <w:jc w:val="center"/>
            </w:pPr>
            <w:r>
              <w:rPr>
                <w:rFonts w:ascii="宋体" w:hAnsi="宋体" w:eastAsia="宋体"/>
                <w:sz w:val="16"/>
              </w:rPr>
              <w:t>设备采购及安装费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62202">
            <w:pPr>
              <w:jc w:val="center"/>
            </w:pPr>
            <w:r>
              <w:rPr>
                <w:rFonts w:ascii="宋体" w:hAnsi="宋体" w:eastAsia="宋体"/>
                <w:sz w:val="16"/>
              </w:rPr>
              <w:t>&lt;=9.09万元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579B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D102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D20E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14D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A203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897B6">
            <w:pPr>
              <w:jc w:val="center"/>
            </w:pPr>
            <w:r>
              <w:rPr>
                <w:rFonts w:ascii="宋体" w:hAnsi="宋体" w:eastAsia="宋体"/>
                <w:sz w:val="16"/>
              </w:rPr>
              <w:t>=9.09万元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640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84EE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60D10">
            <w:pPr>
              <w:jc w:val="center"/>
            </w:pPr>
          </w:p>
        </w:tc>
      </w:tr>
      <w:tr w14:paraId="4E18F9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6F98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CEC8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3166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FC7F0">
            <w:pPr>
              <w:jc w:val="center"/>
            </w:pPr>
            <w:r>
              <w:rPr>
                <w:rFonts w:ascii="宋体" w:hAnsi="宋体" w:eastAsia="宋体"/>
                <w:sz w:val="16"/>
              </w:rPr>
              <w:t>修改造工程费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22EF6">
            <w:pPr>
              <w:jc w:val="center"/>
            </w:pPr>
            <w:r>
              <w:rPr>
                <w:rFonts w:ascii="宋体" w:hAnsi="宋体" w:eastAsia="宋体"/>
                <w:sz w:val="16"/>
              </w:rPr>
              <w:t>&lt;=46.43万元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05C2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0389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C5D6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085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15DE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C3C41">
            <w:pPr>
              <w:jc w:val="center"/>
            </w:pPr>
            <w:r>
              <w:rPr>
                <w:rFonts w:ascii="宋体" w:hAnsi="宋体" w:eastAsia="宋体"/>
                <w:sz w:val="16"/>
              </w:rPr>
              <w:t>=46.43万元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4E4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C7FE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5DCFB">
            <w:pPr>
              <w:jc w:val="center"/>
            </w:pPr>
          </w:p>
        </w:tc>
      </w:tr>
      <w:tr w14:paraId="08CBAD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87DF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028A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9ABE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50745">
            <w:pPr>
              <w:jc w:val="center"/>
            </w:pPr>
            <w:r>
              <w:rPr>
                <w:rFonts w:ascii="宋体" w:hAnsi="宋体" w:eastAsia="宋体"/>
                <w:sz w:val="16"/>
              </w:rPr>
              <w:t>直播设备采购费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BA594">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BF39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F43F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9C77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822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6EF8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C4CF2">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899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98CD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AA82E">
            <w:pPr>
              <w:jc w:val="center"/>
            </w:pPr>
          </w:p>
        </w:tc>
      </w:tr>
      <w:tr w14:paraId="5BAF58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DDD5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BCA93C">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73161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FDCEF">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A551C">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910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C3E4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F6F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43B7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171EC">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9A214">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65B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E6C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E49A5">
            <w:pPr>
              <w:jc w:val="center"/>
            </w:pPr>
          </w:p>
        </w:tc>
      </w:tr>
      <w:tr w14:paraId="25C600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DB5D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AE45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2A1E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A8A43">
            <w:pPr>
              <w:jc w:val="center"/>
            </w:pPr>
            <w:r>
              <w:rPr>
                <w:rFonts w:ascii="宋体" w:hAnsi="宋体" w:eastAsia="宋体"/>
                <w:sz w:val="16"/>
              </w:rPr>
              <w:t>降低政府债务风险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EC6A2">
            <w:pPr>
              <w:jc w:val="center"/>
            </w:pPr>
            <w:r>
              <w:rPr>
                <w:rFonts w:ascii="宋体" w:hAnsi="宋体" w:eastAsia="宋体"/>
                <w:sz w:val="16"/>
              </w:rPr>
              <w:t>有效降低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7A0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3373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EDB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03BB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2135A">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0F474">
            <w:pPr>
              <w:jc w:val="center"/>
            </w:pPr>
            <w:r>
              <w:rPr>
                <w:rFonts w:ascii="宋体" w:hAnsi="宋体" w:eastAsia="宋体"/>
                <w:sz w:val="16"/>
              </w:rPr>
              <w:t>有效降低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77E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25F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19CEA">
            <w:pPr>
              <w:jc w:val="center"/>
            </w:pPr>
          </w:p>
        </w:tc>
      </w:tr>
      <w:tr w14:paraId="068F33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C273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B31F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8C19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7A21B">
            <w:pPr>
              <w:jc w:val="center"/>
            </w:pPr>
            <w:r>
              <w:rPr>
                <w:rFonts w:ascii="宋体" w:hAnsi="宋体" w:eastAsia="宋体"/>
                <w:sz w:val="16"/>
              </w:rPr>
              <w:t>债权人满意度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D099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FA8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8F5E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BA1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0AFD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28011">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2DF0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CF9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6B6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52B30">
            <w:pPr>
              <w:jc w:val="center"/>
            </w:pPr>
          </w:p>
        </w:tc>
      </w:tr>
      <w:tr w14:paraId="7E8B693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CEC6F1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A11F8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91C6D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9F18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8EC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F719C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B9324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920A1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7FC6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AC99F">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72E3C8"/>
        </w:tc>
      </w:tr>
    </w:tbl>
    <w:p w14:paraId="3BF1001A">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5"/>
        <w:gridCol w:w="625"/>
        <w:gridCol w:w="776"/>
        <w:gridCol w:w="625"/>
        <w:gridCol w:w="625"/>
        <w:gridCol w:w="627"/>
        <w:gridCol w:w="625"/>
        <w:gridCol w:w="627"/>
        <w:gridCol w:w="696"/>
        <w:gridCol w:w="629"/>
        <w:gridCol w:w="696"/>
        <w:gridCol w:w="632"/>
      </w:tblGrid>
      <w:tr w14:paraId="01F7AE0F">
        <w:tblPrEx>
          <w:tblCellMar>
            <w:top w:w="0" w:type="dxa"/>
            <w:left w:w="108" w:type="dxa"/>
            <w:bottom w:w="0" w:type="dxa"/>
            <w:right w:w="108" w:type="dxa"/>
          </w:tblCellMar>
        </w:tblPrEx>
        <w:tc>
          <w:tcPr>
            <w:tcW w:w="8848" w:type="dxa"/>
            <w:gridSpan w:val="14"/>
            <w:vAlign w:val="center"/>
          </w:tcPr>
          <w:p w14:paraId="67A0CD79">
            <w:pPr>
              <w:jc w:val="center"/>
            </w:pPr>
            <w:r>
              <w:rPr>
                <w:rFonts w:ascii="宋体" w:hAnsi="宋体" w:eastAsia="宋体"/>
                <w:sz w:val="24"/>
              </w:rPr>
              <w:t>项目支出绩效自评表</w:t>
            </w:r>
          </w:p>
        </w:tc>
      </w:tr>
      <w:tr w14:paraId="0E0DBB72">
        <w:tblPrEx>
          <w:tblCellMar>
            <w:top w:w="0" w:type="dxa"/>
            <w:left w:w="108" w:type="dxa"/>
            <w:bottom w:w="0" w:type="dxa"/>
            <w:right w:w="108" w:type="dxa"/>
          </w:tblCellMar>
        </w:tblPrEx>
        <w:tc>
          <w:tcPr>
            <w:tcW w:w="8848" w:type="dxa"/>
            <w:gridSpan w:val="14"/>
            <w:vAlign w:val="center"/>
          </w:tcPr>
          <w:p w14:paraId="6D310B3C">
            <w:pPr>
              <w:jc w:val="center"/>
            </w:pPr>
            <w:r>
              <w:rPr>
                <w:rFonts w:ascii="宋体" w:hAnsi="宋体" w:eastAsia="宋体"/>
                <w:sz w:val="24"/>
              </w:rPr>
              <w:t>(2024年度)</w:t>
            </w:r>
          </w:p>
        </w:tc>
      </w:tr>
      <w:tr w14:paraId="3398904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9E1D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D336AF9">
            <w:pPr>
              <w:jc w:val="center"/>
            </w:pPr>
            <w:r>
              <w:rPr>
                <w:rFonts w:ascii="宋体" w:hAnsi="宋体" w:eastAsia="宋体"/>
                <w:sz w:val="16"/>
              </w:rPr>
              <w:t>2024年中小企业项目-县融媒体中心建设项目（装修改造工程）</w:t>
            </w:r>
          </w:p>
        </w:tc>
      </w:tr>
      <w:tr w14:paraId="4EE042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CC86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9DA998">
            <w:pPr>
              <w:jc w:val="center"/>
            </w:pPr>
            <w:r>
              <w:rPr>
                <w:rFonts w:ascii="宋体" w:hAnsi="宋体" w:eastAsia="宋体"/>
                <w:sz w:val="16"/>
              </w:rPr>
              <w:t>托里县融媒体中心（广播电视台）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1A03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716F35D">
            <w:pPr>
              <w:jc w:val="center"/>
            </w:pPr>
            <w:r>
              <w:rPr>
                <w:rFonts w:ascii="宋体" w:hAnsi="宋体" w:eastAsia="宋体"/>
                <w:sz w:val="16"/>
              </w:rPr>
              <w:t>托里县融媒体中心（广播电视台）</w:t>
            </w:r>
          </w:p>
        </w:tc>
      </w:tr>
      <w:tr w14:paraId="5F6236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1F9DD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28F6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00F0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47ED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552E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B09A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2960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1711E">
            <w:pPr>
              <w:jc w:val="center"/>
            </w:pPr>
            <w:r>
              <w:rPr>
                <w:rFonts w:ascii="宋体" w:hAnsi="宋体" w:eastAsia="宋体"/>
                <w:sz w:val="16"/>
              </w:rPr>
              <w:t>得分</w:t>
            </w:r>
          </w:p>
        </w:tc>
      </w:tr>
      <w:tr w14:paraId="4B5628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E6CBC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36B0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CDD17">
            <w:pPr>
              <w:jc w:val="center"/>
            </w:pPr>
            <w:r>
              <w:rPr>
                <w:rFonts w:ascii="宋体" w:hAnsi="宋体" w:eastAsia="宋体"/>
                <w:sz w:val="16"/>
              </w:rPr>
              <w:t>45.17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FA298">
            <w:pPr>
              <w:jc w:val="center"/>
            </w:pPr>
            <w:r>
              <w:rPr>
                <w:rFonts w:ascii="宋体" w:hAnsi="宋体" w:eastAsia="宋体"/>
                <w:sz w:val="16"/>
              </w:rPr>
              <w:t>45.17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2C33B">
            <w:pPr>
              <w:jc w:val="center"/>
            </w:pPr>
            <w:r>
              <w:rPr>
                <w:rFonts w:ascii="宋体" w:hAnsi="宋体" w:eastAsia="宋体"/>
                <w:sz w:val="16"/>
              </w:rPr>
              <w:t>45.17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DBC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3204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2B18E">
            <w:pPr>
              <w:jc w:val="center"/>
            </w:pPr>
            <w:r>
              <w:rPr>
                <w:rFonts w:ascii="宋体" w:hAnsi="宋体" w:eastAsia="宋体"/>
                <w:sz w:val="16"/>
              </w:rPr>
              <w:t>10.00</w:t>
            </w:r>
          </w:p>
        </w:tc>
      </w:tr>
      <w:tr w14:paraId="24ED55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24F1E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9014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9D290">
            <w:pPr>
              <w:jc w:val="center"/>
            </w:pPr>
            <w:r>
              <w:rPr>
                <w:rFonts w:ascii="宋体" w:hAnsi="宋体" w:eastAsia="宋体"/>
                <w:sz w:val="16"/>
              </w:rPr>
              <w:t>45.17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479BA">
            <w:pPr>
              <w:jc w:val="center"/>
            </w:pPr>
            <w:r>
              <w:rPr>
                <w:rFonts w:ascii="宋体" w:hAnsi="宋体" w:eastAsia="宋体"/>
                <w:sz w:val="16"/>
              </w:rPr>
              <w:t>45.17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7AE80">
            <w:pPr>
              <w:jc w:val="center"/>
            </w:pPr>
            <w:r>
              <w:rPr>
                <w:rFonts w:ascii="宋体" w:hAnsi="宋体" w:eastAsia="宋体"/>
                <w:sz w:val="16"/>
              </w:rPr>
              <w:t>45.17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A41D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892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94196">
            <w:pPr>
              <w:jc w:val="center"/>
            </w:pPr>
            <w:r>
              <w:rPr>
                <w:rFonts w:ascii="宋体" w:hAnsi="宋体" w:eastAsia="宋体"/>
                <w:sz w:val="16"/>
              </w:rPr>
              <w:t>—</w:t>
            </w:r>
          </w:p>
        </w:tc>
      </w:tr>
      <w:tr w14:paraId="1CB282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4318C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ACAE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C7E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FDD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A6E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B3BB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D1A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3CE4D">
            <w:pPr>
              <w:jc w:val="center"/>
            </w:pPr>
            <w:r>
              <w:rPr>
                <w:rFonts w:ascii="宋体" w:hAnsi="宋体" w:eastAsia="宋体"/>
                <w:sz w:val="16"/>
              </w:rPr>
              <w:t>—</w:t>
            </w:r>
          </w:p>
        </w:tc>
      </w:tr>
      <w:tr w14:paraId="0833940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1B3A3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CAA1E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AABFE9">
            <w:pPr>
              <w:jc w:val="center"/>
            </w:pPr>
            <w:r>
              <w:rPr>
                <w:rFonts w:ascii="宋体" w:hAnsi="宋体" w:eastAsia="宋体"/>
                <w:sz w:val="16"/>
              </w:rPr>
              <w:t>实际完成情况</w:t>
            </w:r>
          </w:p>
        </w:tc>
      </w:tr>
      <w:tr w14:paraId="5274A9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1C11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2D9AEA">
            <w:pPr>
              <w:jc w:val="both"/>
            </w:pPr>
            <w:r>
              <w:rPr>
                <w:rFonts w:ascii="宋体" w:hAnsi="宋体" w:eastAsia="宋体"/>
                <w:sz w:val="16"/>
              </w:rPr>
              <w:t>托里县融媒体中心装修改造资金45.17万元，其中装修改造费45.17</w:t>
            </w:r>
            <w:r>
              <w:rPr>
                <w:rFonts w:hint="eastAsia" w:ascii="宋体" w:hAnsi="宋体"/>
                <w:sz w:val="16"/>
                <w:lang w:eastAsia="zh-CN"/>
              </w:rPr>
              <w:t>万元</w:t>
            </w:r>
            <w:r>
              <w:rPr>
                <w:rFonts w:ascii="宋体" w:hAnsi="宋体" w:eastAsia="宋体"/>
                <w:sz w:val="16"/>
              </w:rPr>
              <w:t>，通过项目的实施，有效提升政府公信力，有效降低政府债务风险，债权人满意度达到95%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29F9B3">
            <w:pPr>
              <w:jc w:val="both"/>
            </w:pPr>
            <w:r>
              <w:rPr>
                <w:rFonts w:ascii="宋体" w:hAnsi="宋体" w:eastAsia="宋体"/>
                <w:sz w:val="16"/>
              </w:rPr>
              <w:br w:type="textWrapping"/>
            </w:r>
            <w:r>
              <w:rPr>
                <w:rFonts w:ascii="宋体" w:hAnsi="宋体" w:eastAsia="宋体"/>
                <w:sz w:val="16"/>
              </w:rPr>
              <w:t>托里县融媒体中心装修改造资金45.17万元，其中装修改造费45.17</w:t>
            </w:r>
            <w:r>
              <w:rPr>
                <w:rFonts w:hint="eastAsia" w:ascii="宋体" w:hAnsi="宋体"/>
                <w:sz w:val="16"/>
                <w:lang w:eastAsia="zh-CN"/>
              </w:rPr>
              <w:t>万元</w:t>
            </w:r>
            <w:r>
              <w:rPr>
                <w:rFonts w:ascii="宋体" w:hAnsi="宋体" w:eastAsia="宋体"/>
                <w:sz w:val="16"/>
              </w:rPr>
              <w:t>，通过项目的实施，有效提升政府公信力，有效降低政府债务风险，债权人满意度达到95%</w:t>
            </w:r>
          </w:p>
        </w:tc>
      </w:tr>
      <w:tr w14:paraId="253597B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0BA12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6AFE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504B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5B93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75EF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2571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B15F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685F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4247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E6B3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FF90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CB58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A6FF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55C45">
            <w:pPr>
              <w:jc w:val="center"/>
            </w:pPr>
            <w:r>
              <w:rPr>
                <w:rFonts w:ascii="宋体" w:hAnsi="宋体" w:eastAsia="宋体"/>
                <w:sz w:val="16"/>
              </w:rPr>
              <w:t>偏差原因分析及改进措施</w:t>
            </w:r>
          </w:p>
        </w:tc>
      </w:tr>
      <w:tr w14:paraId="24722C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BB540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35EF2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6955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C34C3">
            <w:pPr>
              <w:jc w:val="center"/>
            </w:pPr>
            <w:r>
              <w:rPr>
                <w:rFonts w:ascii="宋体" w:hAnsi="宋体" w:eastAsia="宋体"/>
                <w:sz w:val="16"/>
              </w:rPr>
              <w:t>涉及维修改造项目数量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6BBC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14E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5966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71E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1BB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06590">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5E31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F0D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E2E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BE78B">
            <w:pPr>
              <w:jc w:val="center"/>
            </w:pPr>
          </w:p>
        </w:tc>
      </w:tr>
      <w:tr w14:paraId="626F1C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C76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AABC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1F0E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22157">
            <w:pPr>
              <w:jc w:val="center"/>
            </w:pPr>
            <w:r>
              <w:rPr>
                <w:rFonts w:ascii="宋体" w:hAnsi="宋体" w:eastAsia="宋体"/>
                <w:sz w:val="16"/>
              </w:rPr>
              <w:t>项目任务完成率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1E6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CA5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0D8C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EA1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1A1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96AB1">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929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9E2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2D0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03FB8">
            <w:pPr>
              <w:jc w:val="center"/>
            </w:pPr>
          </w:p>
        </w:tc>
      </w:tr>
      <w:tr w14:paraId="6B49DD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6EAD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70B2D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3A29B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00FA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FD7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07B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E67B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479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3E0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B6110">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A5F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896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B34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152F8">
            <w:pPr>
              <w:jc w:val="center"/>
            </w:pPr>
          </w:p>
        </w:tc>
      </w:tr>
      <w:tr w14:paraId="0A4B7D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0935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0ACA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9189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CCD1B">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FE550">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D46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32C9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532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12B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2D1C1">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C55B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D33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A36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07B1E">
            <w:pPr>
              <w:jc w:val="center"/>
            </w:pPr>
          </w:p>
        </w:tc>
      </w:tr>
      <w:tr w14:paraId="48AD15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251C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32D3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565D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B386C">
            <w:pPr>
              <w:jc w:val="center"/>
            </w:pPr>
            <w:r>
              <w:rPr>
                <w:rFonts w:ascii="宋体" w:hAnsi="宋体" w:eastAsia="宋体"/>
                <w:sz w:val="16"/>
              </w:rPr>
              <w:t>平均装修改造费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78ECD">
            <w:pPr>
              <w:jc w:val="center"/>
            </w:pPr>
            <w:r>
              <w:rPr>
                <w:rFonts w:ascii="宋体" w:hAnsi="宋体" w:eastAsia="宋体"/>
                <w:sz w:val="16"/>
              </w:rPr>
              <w:t>&lt;=45.17万元/个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6C65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D717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42E3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EC2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4E5E5">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51DB2">
            <w:pPr>
              <w:jc w:val="center"/>
            </w:pPr>
            <w:r>
              <w:rPr>
                <w:rFonts w:ascii="宋体" w:hAnsi="宋体" w:eastAsia="宋体"/>
                <w:sz w:val="16"/>
              </w:rPr>
              <w:t>=45.17万元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199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FF38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617AD">
            <w:pPr>
              <w:jc w:val="center"/>
            </w:pPr>
          </w:p>
        </w:tc>
      </w:tr>
      <w:tr w14:paraId="7CAE76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881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ACB3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ACC2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BDBD5">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7E7F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CE7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2B43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FDBA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627F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C5912">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CD2FA">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678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3BFA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907D6">
            <w:pPr>
              <w:jc w:val="center"/>
            </w:pPr>
          </w:p>
        </w:tc>
      </w:tr>
      <w:tr w14:paraId="52FEF7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847D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E048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CE5D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EBB51">
            <w:pPr>
              <w:jc w:val="center"/>
            </w:pPr>
            <w:r>
              <w:rPr>
                <w:rFonts w:ascii="宋体" w:hAnsi="宋体" w:eastAsia="宋体"/>
                <w:sz w:val="16"/>
              </w:rPr>
              <w:t>债权人满意度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B9A2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CB1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6F78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BB6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9CC2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A86AC">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8915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C1F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9C6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159E0">
            <w:pPr>
              <w:jc w:val="center"/>
            </w:pPr>
          </w:p>
        </w:tc>
      </w:tr>
      <w:tr w14:paraId="411BD01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6B13F8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7E95C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B5C38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8A6A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F55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7CD2D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9F40E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33CF3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B73B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9C0F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60958D"/>
        </w:tc>
      </w:tr>
    </w:tbl>
    <w:p w14:paraId="12B4B425">
      <w:r>
        <w:br w:type="page"/>
      </w:r>
    </w:p>
    <w:p w14:paraId="7C53E44C">
      <w:pPr>
        <w:spacing w:line="640" w:lineRule="exact"/>
        <w:ind w:firstLine="640"/>
        <w:jc w:val="both"/>
        <w:outlineLvl w:val="2"/>
      </w:pPr>
      <w:r>
        <w:rPr>
          <w:rFonts w:ascii="黑体" w:hAnsi="黑体" w:eastAsia="黑体"/>
          <w:sz w:val="32"/>
        </w:rPr>
        <w:t>十二、其他需说明的事项</w:t>
      </w:r>
    </w:p>
    <w:p w14:paraId="7E49287C">
      <w:pPr>
        <w:spacing w:line="580" w:lineRule="exact"/>
        <w:ind w:firstLine="640"/>
        <w:jc w:val="both"/>
      </w:pPr>
      <w:r>
        <w:rPr>
          <w:rFonts w:ascii="仿宋_GB2312" w:hAnsi="仿宋_GB2312" w:eastAsia="仿宋_GB2312"/>
          <w:b w:val="0"/>
          <w:sz w:val="32"/>
        </w:rPr>
        <w:t>本单位无其他需说明的事项。</w:t>
      </w:r>
    </w:p>
    <w:p w14:paraId="494D71AA">
      <w:r>
        <w:br w:type="page"/>
      </w:r>
      <w:bookmarkStart w:id="0" w:name="_GoBack"/>
      <w:bookmarkEnd w:id="0"/>
    </w:p>
    <w:p w14:paraId="7031D9F7">
      <w:pPr>
        <w:spacing w:line="240" w:lineRule="auto"/>
        <w:jc w:val="center"/>
        <w:outlineLvl w:val="1"/>
      </w:pPr>
      <w:r>
        <w:rPr>
          <w:rFonts w:ascii="黑体" w:hAnsi="黑体" w:eastAsia="黑体"/>
          <w:sz w:val="32"/>
        </w:rPr>
        <w:t>第三部分 专业名词解释</w:t>
      </w:r>
    </w:p>
    <w:p w14:paraId="78819FE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1A84BC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075D179">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68675E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60E140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0A872D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61768F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942565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649EAD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FF8068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B00695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585D60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7FDAC2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C7119A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B96446A">
      <w:r>
        <w:br w:type="page"/>
      </w:r>
    </w:p>
    <w:p w14:paraId="6D27F78F">
      <w:pPr>
        <w:spacing w:line="240" w:lineRule="auto"/>
        <w:jc w:val="center"/>
        <w:outlineLvl w:val="1"/>
      </w:pPr>
      <w:r>
        <w:rPr>
          <w:rFonts w:ascii="黑体" w:hAnsi="黑体" w:eastAsia="黑体"/>
          <w:sz w:val="32"/>
        </w:rPr>
        <w:t>第四部分 部门决算报表（见附表）</w:t>
      </w:r>
    </w:p>
    <w:p w14:paraId="0E131ED7">
      <w:pPr>
        <w:spacing w:line="240" w:lineRule="auto"/>
        <w:ind w:firstLine="640"/>
        <w:jc w:val="both"/>
      </w:pPr>
      <w:r>
        <w:rPr>
          <w:rFonts w:ascii="仿宋_GB2312" w:hAnsi="仿宋_GB2312" w:eastAsia="仿宋_GB2312"/>
          <w:b w:val="0"/>
          <w:sz w:val="32"/>
        </w:rPr>
        <w:t>一、《收入支出决算总表》</w:t>
      </w:r>
    </w:p>
    <w:p w14:paraId="7AED00AC">
      <w:pPr>
        <w:spacing w:line="240" w:lineRule="auto"/>
        <w:ind w:firstLine="640"/>
        <w:jc w:val="both"/>
      </w:pPr>
      <w:r>
        <w:rPr>
          <w:rFonts w:ascii="仿宋_GB2312" w:hAnsi="仿宋_GB2312" w:eastAsia="仿宋_GB2312"/>
          <w:b w:val="0"/>
          <w:sz w:val="32"/>
        </w:rPr>
        <w:t>二、《收入决算表》</w:t>
      </w:r>
    </w:p>
    <w:p w14:paraId="16CA3C05">
      <w:pPr>
        <w:spacing w:line="240" w:lineRule="auto"/>
        <w:ind w:firstLine="640"/>
        <w:jc w:val="both"/>
      </w:pPr>
      <w:r>
        <w:rPr>
          <w:rFonts w:ascii="仿宋_GB2312" w:hAnsi="仿宋_GB2312" w:eastAsia="仿宋_GB2312"/>
          <w:b w:val="0"/>
          <w:sz w:val="32"/>
        </w:rPr>
        <w:t>三、《支出决算表》</w:t>
      </w:r>
    </w:p>
    <w:p w14:paraId="10FC62A0">
      <w:pPr>
        <w:spacing w:line="240" w:lineRule="auto"/>
        <w:ind w:firstLine="640"/>
        <w:jc w:val="both"/>
      </w:pPr>
      <w:r>
        <w:rPr>
          <w:rFonts w:ascii="仿宋_GB2312" w:hAnsi="仿宋_GB2312" w:eastAsia="仿宋_GB2312"/>
          <w:b w:val="0"/>
          <w:sz w:val="32"/>
        </w:rPr>
        <w:t>四、《财政拨款收入支出决算总表》</w:t>
      </w:r>
    </w:p>
    <w:p w14:paraId="0E82C4D4">
      <w:pPr>
        <w:spacing w:line="240" w:lineRule="auto"/>
        <w:ind w:firstLine="640"/>
        <w:jc w:val="both"/>
      </w:pPr>
      <w:r>
        <w:rPr>
          <w:rFonts w:ascii="仿宋_GB2312" w:hAnsi="仿宋_GB2312" w:eastAsia="仿宋_GB2312"/>
          <w:b w:val="0"/>
          <w:sz w:val="32"/>
        </w:rPr>
        <w:t>五、《一般公共预算财政拨款支出决算表》</w:t>
      </w:r>
    </w:p>
    <w:p w14:paraId="2A65BFB3">
      <w:pPr>
        <w:spacing w:line="240" w:lineRule="auto"/>
        <w:ind w:firstLine="640"/>
        <w:jc w:val="both"/>
      </w:pPr>
      <w:r>
        <w:rPr>
          <w:rFonts w:ascii="仿宋_GB2312" w:hAnsi="仿宋_GB2312" w:eastAsia="仿宋_GB2312"/>
          <w:b w:val="0"/>
          <w:sz w:val="32"/>
        </w:rPr>
        <w:t>六、《一般公共预算财政拨款基本支出决算表》</w:t>
      </w:r>
    </w:p>
    <w:p w14:paraId="60A7D238">
      <w:pPr>
        <w:spacing w:line="240" w:lineRule="auto"/>
        <w:ind w:firstLine="640"/>
        <w:jc w:val="both"/>
      </w:pPr>
      <w:r>
        <w:rPr>
          <w:rFonts w:ascii="仿宋_GB2312" w:hAnsi="仿宋_GB2312" w:eastAsia="仿宋_GB2312"/>
          <w:b w:val="0"/>
          <w:sz w:val="32"/>
        </w:rPr>
        <w:t>七、《政府性基金预算财政拨款收入支出决算表》</w:t>
      </w:r>
    </w:p>
    <w:p w14:paraId="7672E2F9">
      <w:pPr>
        <w:spacing w:line="240" w:lineRule="auto"/>
        <w:ind w:firstLine="640"/>
        <w:jc w:val="both"/>
      </w:pPr>
      <w:r>
        <w:rPr>
          <w:rFonts w:ascii="仿宋_GB2312" w:hAnsi="仿宋_GB2312" w:eastAsia="仿宋_GB2312"/>
          <w:b w:val="0"/>
          <w:sz w:val="32"/>
        </w:rPr>
        <w:t>八、《国有资本经营预算财政拨款收入支出决算表》</w:t>
      </w:r>
    </w:p>
    <w:p w14:paraId="3843BE8D">
      <w:pPr>
        <w:spacing w:line="240" w:lineRule="auto"/>
        <w:ind w:firstLine="640"/>
        <w:jc w:val="both"/>
      </w:pPr>
      <w:r>
        <w:rPr>
          <w:rFonts w:ascii="仿宋_GB2312" w:hAnsi="仿宋_GB2312" w:eastAsia="仿宋_GB2312"/>
          <w:b w:val="0"/>
          <w:sz w:val="32"/>
        </w:rPr>
        <w:t>九、《财政拨款“三公”经费支出决算表》</w:t>
      </w:r>
    </w:p>
    <w:p w14:paraId="15DADC73">
      <w:pPr>
        <w:spacing w:line="240" w:lineRule="auto"/>
        <w:ind w:firstLine="640"/>
        <w:jc w:val="both"/>
      </w:pPr>
    </w:p>
    <w:p w14:paraId="27282740">
      <w:pPr>
        <w:spacing w:line="240" w:lineRule="auto"/>
        <w:ind w:firstLine="640"/>
        <w:jc w:val="both"/>
      </w:pPr>
    </w:p>
    <w:p w14:paraId="62DDA374">
      <w:pPr>
        <w:spacing w:line="240" w:lineRule="auto"/>
        <w:ind w:firstLine="640"/>
        <w:jc w:val="both"/>
      </w:pPr>
    </w:p>
    <w:p w14:paraId="000925EB">
      <w:pPr>
        <w:spacing w:line="240" w:lineRule="auto"/>
        <w:ind w:firstLine="640"/>
        <w:jc w:val="both"/>
      </w:pPr>
    </w:p>
    <w:p w14:paraId="32B941B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CA2106D-740D-45D0-9B89-934554C8800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CDC04A21-14D1-436E-9860-DFD23BF44019}"/>
  </w:font>
  <w:font w:name="仿宋_GB2312">
    <w:altName w:val="仿宋"/>
    <w:panose1 w:val="02010609030101010101"/>
    <w:charset w:val="86"/>
    <w:family w:val="modern"/>
    <w:pitch w:val="default"/>
    <w:sig w:usb0="00000000" w:usb1="00000000" w:usb2="00000000" w:usb3="00000000" w:csb0="00040000" w:csb1="00000000"/>
    <w:embedRegular r:id="rId3" w:fontKey="{2B4E70BE-BE9D-40D1-A66F-3F2B67E3121D}"/>
  </w:font>
  <w:font w:name="楷体_GB2312">
    <w:altName w:val="楷体"/>
    <w:panose1 w:val="00000000000000000000"/>
    <w:charset w:val="00"/>
    <w:family w:val="auto"/>
    <w:pitch w:val="default"/>
    <w:sig w:usb0="00000000" w:usb1="00000000" w:usb2="00000000" w:usb3="00000000" w:csb0="00000000" w:csb1="00000000"/>
    <w:embedRegular r:id="rId4" w:fontKey="{46BBB453-182B-47AD-BF84-F50673B59B4A}"/>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BA57132"/>
    <w:rsid w:val="1C317E4F"/>
    <w:rsid w:val="1C472464"/>
    <w:rsid w:val="1CF92F37"/>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38C0DC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5545</Words>
  <Characters>6307</Characters>
  <Lines>0</Lines>
  <Paragraphs>0</Paragraphs>
  <TotalTime>4</TotalTime>
  <ScaleCrop>false</ScaleCrop>
  <LinksUpToDate>false</LinksUpToDate>
  <CharactersWithSpaces>6315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2025-11-03T03:09:59Z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