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托里县科学技术协会2024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CF81328">
      <w:r>
        <w:br w:type="page"/>
      </w:r>
    </w:p>
    <w:p w14:paraId="35204DF3">
      <w:pPr>
        <w:spacing w:line="640" w:lineRule="exact"/>
        <w:jc w:val="center"/>
        <w:outlineLvl w:val="1"/>
      </w:pPr>
      <w:r>
        <w:rPr>
          <w:rFonts w:ascii="黑体" w:hAnsi="黑体" w:eastAsia="黑体"/>
          <w:sz w:val="32"/>
        </w:rPr>
        <w:t>第一部分 单位概况</w:t>
      </w:r>
    </w:p>
    <w:p w14:paraId="2E36F283">
      <w:pPr>
        <w:spacing w:line="640" w:lineRule="exact"/>
        <w:ind w:firstLine="640"/>
        <w:jc w:val="both"/>
        <w:outlineLvl w:val="2"/>
      </w:pPr>
      <w:r>
        <w:rPr>
          <w:rFonts w:ascii="黑体" w:hAnsi="黑体" w:eastAsia="黑体"/>
          <w:sz w:val="32"/>
        </w:rPr>
        <w:t>一、主要职能</w:t>
      </w:r>
    </w:p>
    <w:p w14:paraId="4E12F6D9">
      <w:pPr>
        <w:spacing w:line="580" w:lineRule="exact"/>
        <w:ind w:firstLine="640"/>
        <w:jc w:val="both"/>
      </w:pPr>
      <w:r>
        <w:rPr>
          <w:rFonts w:ascii="仿宋_GB2312" w:hAnsi="仿宋_GB2312" w:eastAsia="仿宋_GB2312"/>
          <w:sz w:val="32"/>
        </w:rPr>
        <w:t>托里县科学技术协会在科技工作中发挥着重要作用，其主要职能和上级科协有一定承接性，又有自身特点，主要包括以下方面。</w:t>
      </w:r>
    </w:p>
    <w:p w14:paraId="1C36E043">
      <w:pPr>
        <w:spacing w:line="580" w:lineRule="exact"/>
        <w:ind w:firstLine="640"/>
        <w:jc w:val="both"/>
      </w:pPr>
      <w:r>
        <w:rPr>
          <w:rFonts w:ascii="仿宋_GB2312" w:hAnsi="仿宋_GB2312" w:eastAsia="仿宋_GB2312"/>
          <w:sz w:val="32"/>
        </w:rPr>
        <w:t>科普宣传教育：通过举办科普讲座、展览、科技活动周等形式多样的活动，向广大基层群众普及科学知识，传播科学思想和方法，提高全民科学素质，特别是提升农村居民和青少年的科学素养。</w:t>
      </w:r>
    </w:p>
    <w:p w14:paraId="212873A0">
      <w:pPr>
        <w:spacing w:line="580" w:lineRule="exact"/>
        <w:ind w:firstLine="640"/>
        <w:jc w:val="both"/>
      </w:pPr>
      <w:r>
        <w:rPr>
          <w:rFonts w:ascii="仿宋_GB2312" w:hAnsi="仿宋_GB2312" w:eastAsia="仿宋_GB2312"/>
          <w:sz w:val="32"/>
        </w:rPr>
        <w:t>组织学术交流：组织县级范围内的科技工作者开展学术研讨、交流活动，搭建交流平台，促进学科发展和技术创新，推动本地科技水平的提升。</w:t>
      </w:r>
    </w:p>
    <w:p w14:paraId="5A48AC37">
      <w:pPr>
        <w:spacing w:line="580" w:lineRule="exact"/>
        <w:ind w:firstLine="640"/>
        <w:jc w:val="both"/>
      </w:pPr>
      <w:r>
        <w:rPr>
          <w:rFonts w:ascii="仿宋_GB2312" w:hAnsi="仿宋_GB2312" w:eastAsia="仿宋_GB2312"/>
          <w:sz w:val="32"/>
        </w:rPr>
        <w:t>服务科技工作者：反映科技工作者的意见和诉求，维护他们的合法权益，举荐优秀科技。</w:t>
      </w:r>
    </w:p>
    <w:p w14:paraId="4CED8DF8">
      <w:pPr>
        <w:spacing w:line="580" w:lineRule="exact"/>
        <w:ind w:firstLine="640"/>
        <w:jc w:val="both"/>
      </w:pPr>
      <w:r>
        <w:rPr>
          <w:rFonts w:ascii="仿宋_GB2312" w:hAnsi="仿宋_GB2312" w:eastAsia="仿宋_GB2312"/>
          <w:sz w:val="32"/>
        </w:rPr>
        <w:t>青少年科技教育：组织开展青少年科技创新大赛、科技夏令营等科技教育活动，培养青少年的创新精神和实践能力，发现和培养科技创新后备</w:t>
      </w:r>
      <w:r>
        <w:rPr>
          <w:rFonts w:hint="eastAsia" w:ascii="仿宋_GB2312" w:hAnsi="仿宋_GB2312" w:eastAsia="仿宋_GB2312"/>
          <w:sz w:val="32"/>
          <w:lang w:eastAsia="zh-CN"/>
        </w:rPr>
        <w:t>人才</w:t>
      </w:r>
      <w:r>
        <w:rPr>
          <w:rFonts w:ascii="仿宋_GB2312" w:hAnsi="仿宋_GB2312" w:eastAsia="仿宋_GB2312"/>
          <w:sz w:val="32"/>
        </w:rPr>
        <w:t>。</w:t>
      </w:r>
    </w:p>
    <w:p w14:paraId="7470A027">
      <w:pPr>
        <w:spacing w:line="640" w:lineRule="exact"/>
        <w:ind w:firstLine="640"/>
        <w:jc w:val="both"/>
        <w:outlineLvl w:val="2"/>
      </w:pPr>
      <w:r>
        <w:rPr>
          <w:rFonts w:ascii="黑体" w:hAnsi="黑体" w:eastAsia="黑体"/>
          <w:sz w:val="32"/>
        </w:rPr>
        <w:t>二、机构设置及人员情况</w:t>
      </w:r>
    </w:p>
    <w:p w14:paraId="2CB9F9AD">
      <w:pPr>
        <w:spacing w:line="580" w:lineRule="exact"/>
        <w:ind w:firstLine="640"/>
        <w:jc w:val="both"/>
      </w:pPr>
      <w:r>
        <w:rPr>
          <w:rFonts w:ascii="仿宋_GB2312" w:hAnsi="仿宋_GB2312" w:eastAsia="仿宋_GB2312"/>
          <w:sz w:val="32"/>
        </w:rPr>
        <w:t>托里县科学技术协会2024年度，实有人数11人，其中：在职人员5人，减少1人；离休人员0人，增加0人；退休人员6人,增加2人。</w:t>
      </w:r>
    </w:p>
    <w:p w14:paraId="026A279F">
      <w:pPr>
        <w:spacing w:line="580" w:lineRule="exact"/>
        <w:ind w:firstLine="640"/>
        <w:jc w:val="both"/>
      </w:pPr>
      <w:r>
        <w:rPr>
          <w:rFonts w:ascii="仿宋_GB2312" w:hAnsi="仿宋_GB2312" w:eastAsia="仿宋_GB2312"/>
          <w:sz w:val="32"/>
        </w:rPr>
        <w:t>托里县科学技术协会无下属预算单位，下设2个科室，分别是：办公室、财务室。</w:t>
      </w:r>
    </w:p>
    <w:p w14:paraId="44BFEDD0">
      <w:r>
        <w:br w:type="page"/>
      </w:r>
    </w:p>
    <w:p w14:paraId="59FBBE9F">
      <w:pPr>
        <w:spacing w:line="240" w:lineRule="auto"/>
        <w:jc w:val="center"/>
        <w:outlineLvl w:val="1"/>
      </w:pPr>
      <w:r>
        <w:rPr>
          <w:rFonts w:ascii="黑体" w:hAnsi="黑体" w:eastAsia="黑体"/>
          <w:sz w:val="32"/>
        </w:rPr>
        <w:t>第二部分 部门决算情况说明</w:t>
      </w:r>
    </w:p>
    <w:p w14:paraId="3C4C2B67">
      <w:pPr>
        <w:spacing w:line="640" w:lineRule="exact"/>
        <w:ind w:firstLine="640"/>
        <w:jc w:val="both"/>
        <w:outlineLvl w:val="2"/>
      </w:pPr>
      <w:r>
        <w:rPr>
          <w:rFonts w:ascii="黑体" w:hAnsi="黑体" w:eastAsia="黑体"/>
          <w:sz w:val="32"/>
        </w:rPr>
        <w:t>一、收入支出决算总体情况说明</w:t>
      </w:r>
    </w:p>
    <w:p w14:paraId="18412B37">
      <w:pPr>
        <w:spacing w:line="580" w:lineRule="exact"/>
        <w:ind w:firstLine="640"/>
        <w:jc w:val="both"/>
      </w:pPr>
      <w:r>
        <w:rPr>
          <w:rFonts w:ascii="仿宋_GB2312" w:hAnsi="仿宋_GB2312" w:eastAsia="仿宋_GB2312"/>
          <w:b/>
          <w:sz w:val="32"/>
        </w:rPr>
        <w:t>2024年度收入总计128.75万元，</w:t>
      </w:r>
      <w:r>
        <w:rPr>
          <w:rFonts w:ascii="仿宋_GB2312" w:hAnsi="仿宋_GB2312" w:eastAsia="仿宋_GB2312"/>
          <w:b w:val="0"/>
          <w:sz w:val="32"/>
        </w:rPr>
        <w:t>其中：本年收入合计128.75万元，使用非财政拨款结余（含专用结余）0.00万元，年初结转和结余0.00万元。</w:t>
      </w:r>
    </w:p>
    <w:p w14:paraId="6BD830A8">
      <w:pPr>
        <w:spacing w:line="580" w:lineRule="exact"/>
        <w:ind w:firstLine="640"/>
        <w:jc w:val="both"/>
      </w:pPr>
      <w:r>
        <w:rPr>
          <w:rFonts w:ascii="仿宋_GB2312" w:hAnsi="仿宋_GB2312" w:eastAsia="仿宋_GB2312"/>
          <w:b/>
          <w:sz w:val="32"/>
        </w:rPr>
        <w:t>2024年度支出总计128.75万元，</w:t>
      </w:r>
      <w:r>
        <w:rPr>
          <w:rFonts w:ascii="仿宋_GB2312" w:hAnsi="仿宋_GB2312" w:eastAsia="仿宋_GB2312"/>
          <w:b w:val="0"/>
          <w:sz w:val="32"/>
        </w:rPr>
        <w:t>其中：本年支出合计128.75万元，结余分配0.00万元，年末结转和结余0.00万元。</w:t>
      </w:r>
    </w:p>
    <w:p w14:paraId="5B61BCCA">
      <w:pPr>
        <w:spacing w:line="580" w:lineRule="exact"/>
        <w:ind w:firstLine="640"/>
        <w:jc w:val="both"/>
      </w:pPr>
      <w:r>
        <w:rPr>
          <w:rFonts w:ascii="仿宋_GB2312" w:hAnsi="仿宋_GB2312" w:eastAsia="仿宋_GB2312"/>
          <w:b w:val="0"/>
          <w:sz w:val="32"/>
        </w:rPr>
        <w:t>收入支出总体与上年相比，增加19.66万元，增长18.02%，主要原因是：本年在职人员工资调增、社保、公积金基数调增，人员经费增加。</w:t>
      </w:r>
    </w:p>
    <w:p w14:paraId="26A10569">
      <w:pPr>
        <w:spacing w:line="640" w:lineRule="exact"/>
        <w:ind w:firstLine="640"/>
        <w:jc w:val="both"/>
        <w:outlineLvl w:val="2"/>
      </w:pPr>
      <w:r>
        <w:rPr>
          <w:rFonts w:ascii="黑体" w:hAnsi="黑体" w:eastAsia="黑体"/>
          <w:sz w:val="32"/>
        </w:rPr>
        <w:t>二、收入决算情况说明</w:t>
      </w:r>
    </w:p>
    <w:p w14:paraId="3D18FAC2">
      <w:pPr>
        <w:spacing w:line="580" w:lineRule="exact"/>
        <w:ind w:firstLine="640"/>
        <w:jc w:val="both"/>
      </w:pPr>
      <w:r>
        <w:rPr>
          <w:rFonts w:ascii="仿宋_GB2312" w:hAnsi="仿宋_GB2312" w:eastAsia="仿宋_GB2312"/>
          <w:b/>
          <w:sz w:val="32"/>
        </w:rPr>
        <w:t>本年收入128.75万元，</w:t>
      </w:r>
      <w:r>
        <w:rPr>
          <w:rFonts w:ascii="仿宋_GB2312" w:hAnsi="仿宋_GB2312" w:eastAsia="仿宋_GB2312"/>
          <w:b w:val="0"/>
          <w:sz w:val="32"/>
        </w:rPr>
        <w:t>其中：财政拨款收入128.75万元，占100.00%；上级补助收入0.00万元，占0.00%；事业收入0.00万元，占0.00%；经营收入0.00万元，占0.00%；附属单位上缴收入0.00万元，占0.00%；其他收入0.00万元，占0.00%。</w:t>
      </w:r>
    </w:p>
    <w:p w14:paraId="777C0528">
      <w:pPr>
        <w:spacing w:line="640" w:lineRule="exact"/>
        <w:ind w:firstLine="640"/>
        <w:jc w:val="both"/>
        <w:outlineLvl w:val="2"/>
      </w:pPr>
      <w:r>
        <w:rPr>
          <w:rFonts w:ascii="黑体" w:hAnsi="黑体" w:eastAsia="黑体"/>
          <w:sz w:val="32"/>
        </w:rPr>
        <w:t>三、支出决算情况说明</w:t>
      </w:r>
    </w:p>
    <w:p w14:paraId="36AA8089">
      <w:pPr>
        <w:spacing w:line="580" w:lineRule="exact"/>
        <w:ind w:firstLine="640"/>
        <w:jc w:val="both"/>
      </w:pPr>
      <w:r>
        <w:rPr>
          <w:rFonts w:ascii="仿宋_GB2312" w:hAnsi="仿宋_GB2312" w:eastAsia="仿宋_GB2312"/>
          <w:b/>
          <w:sz w:val="32"/>
        </w:rPr>
        <w:t>本年支出128.75万元，</w:t>
      </w:r>
      <w:r>
        <w:rPr>
          <w:rFonts w:ascii="仿宋_GB2312" w:hAnsi="仿宋_GB2312" w:eastAsia="仿宋_GB2312"/>
          <w:b w:val="0"/>
          <w:sz w:val="32"/>
        </w:rPr>
        <w:t>其中：基本支出128.75万元，占100.00%；项目支出0.00万元，占0.00%；上缴上级支出0.00万元，占0.00%；经营支出0.00万元，占0.00%；对附属单位补助支出0.00万元，占0.00%。</w:t>
      </w:r>
    </w:p>
    <w:p w14:paraId="6998CEE6">
      <w:pPr>
        <w:spacing w:line="640" w:lineRule="exact"/>
        <w:ind w:firstLine="640"/>
        <w:jc w:val="both"/>
        <w:outlineLvl w:val="2"/>
      </w:pPr>
      <w:r>
        <w:rPr>
          <w:rFonts w:ascii="黑体" w:hAnsi="黑体" w:eastAsia="黑体"/>
          <w:sz w:val="32"/>
        </w:rPr>
        <w:t>四、财政拨款收入支出决算总体情况说明</w:t>
      </w:r>
    </w:p>
    <w:p w14:paraId="51214108">
      <w:pPr>
        <w:spacing w:line="580" w:lineRule="exact"/>
        <w:ind w:firstLine="640"/>
        <w:jc w:val="both"/>
      </w:pPr>
      <w:r>
        <w:rPr>
          <w:rFonts w:ascii="仿宋_GB2312" w:hAnsi="仿宋_GB2312" w:eastAsia="仿宋_GB2312"/>
          <w:b/>
          <w:sz w:val="32"/>
        </w:rPr>
        <w:t>2024年度财政拨款收入总计128.75万元，</w:t>
      </w:r>
      <w:r>
        <w:rPr>
          <w:rFonts w:ascii="仿宋_GB2312" w:hAnsi="仿宋_GB2312" w:eastAsia="仿宋_GB2312"/>
          <w:b w:val="0"/>
          <w:sz w:val="32"/>
        </w:rPr>
        <w:t>其中：年初财政拨款结转和结余0.00万元，本年财政拨款收入128.75万元。</w:t>
      </w:r>
      <w:r>
        <w:rPr>
          <w:rFonts w:ascii="仿宋_GB2312" w:hAnsi="仿宋_GB2312" w:eastAsia="仿宋_GB2312"/>
          <w:b/>
          <w:sz w:val="32"/>
        </w:rPr>
        <w:t>财政拨款支出总计128.75万元，</w:t>
      </w:r>
      <w:r>
        <w:rPr>
          <w:rFonts w:ascii="仿宋_GB2312" w:hAnsi="仿宋_GB2312" w:eastAsia="仿宋_GB2312"/>
          <w:b w:val="0"/>
          <w:sz w:val="32"/>
        </w:rPr>
        <w:t>其中：年末财政拨款结转和结余0.00万元，本年财政拨款支出128.75万元。</w:t>
      </w:r>
    </w:p>
    <w:p w14:paraId="56E7B04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增加19.66万元，增长18.02%，主要原因是：本年在职人员工资调增、社保、公积金基数调增，人员经费增加。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年初预算数118.37万元，决算数128.75万元，预决算差异率8.77%，主要原因是：年中追加人员经费及人员工资、社保、公积金基数调增部分资金，导致预决算存在差异。</w:t>
      </w:r>
    </w:p>
    <w:p w14:paraId="78B59520">
      <w:pPr>
        <w:spacing w:line="640" w:lineRule="exact"/>
        <w:ind w:firstLine="640"/>
        <w:jc w:val="both"/>
        <w:outlineLvl w:val="2"/>
      </w:pPr>
      <w:r>
        <w:rPr>
          <w:rFonts w:ascii="黑体" w:hAnsi="黑体" w:eastAsia="黑体"/>
          <w:sz w:val="32"/>
        </w:rPr>
        <w:t>五、一般公共预算财政拨款支出决算情况说明</w:t>
      </w:r>
    </w:p>
    <w:p w14:paraId="7B68FAF0">
      <w:pPr>
        <w:spacing w:line="640" w:lineRule="exact"/>
        <w:ind w:firstLine="640"/>
        <w:jc w:val="both"/>
        <w:outlineLvl w:val="3"/>
      </w:pPr>
      <w:r>
        <w:rPr>
          <w:rFonts w:ascii="楷体_GB2312" w:hAnsi="楷体_GB2312" w:eastAsia="楷体_GB2312"/>
          <w:b/>
          <w:sz w:val="32"/>
        </w:rPr>
        <w:t>（一）一般公共预算财政拨款支出决算总体情况</w:t>
      </w:r>
    </w:p>
    <w:p w14:paraId="008207C4">
      <w:pPr>
        <w:spacing w:line="580" w:lineRule="exact"/>
        <w:ind w:firstLine="640"/>
        <w:jc w:val="both"/>
      </w:pPr>
      <w:r>
        <w:rPr>
          <w:rFonts w:ascii="仿宋_GB2312" w:hAnsi="仿宋_GB2312" w:eastAsia="仿宋_GB2312"/>
          <w:b/>
          <w:sz w:val="32"/>
        </w:rPr>
        <w:t>2024年度一般公共预算财政拨款支出128.75万元，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增加19.66万元，增长18.02%，主要原因是：本年在职人员工资调增、社保、公积金基数调增，人员经费增加。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年初预算数118.37万元，决算数128.75万元，预决算差异率8.77%，主要原因是：年中追加人员经费及人员工资、社保、公积金基数调增部分资金，导致预决算存在差异。</w:t>
      </w:r>
    </w:p>
    <w:p w14:paraId="08CEBD03">
      <w:pPr>
        <w:spacing w:line="640" w:lineRule="exact"/>
        <w:ind w:firstLine="640"/>
        <w:jc w:val="both"/>
        <w:outlineLvl w:val="3"/>
      </w:pPr>
      <w:r>
        <w:rPr>
          <w:rFonts w:ascii="楷体_GB2312" w:hAnsi="楷体_GB2312" w:eastAsia="楷体_GB2312"/>
          <w:b/>
          <w:sz w:val="32"/>
        </w:rPr>
        <w:t>（二）一般公共预算财政拨款支出决算结构情况</w:t>
      </w:r>
    </w:p>
    <w:p w14:paraId="3774FD50">
      <w:pPr>
        <w:spacing w:line="580" w:lineRule="exact"/>
        <w:ind w:firstLine="640"/>
        <w:jc w:val="both"/>
      </w:pPr>
      <w:r>
        <w:rPr>
          <w:rFonts w:ascii="仿宋_GB2312" w:hAnsi="仿宋_GB2312" w:eastAsia="仿宋_GB2312"/>
          <w:b w:val="0"/>
          <w:sz w:val="32"/>
        </w:rPr>
        <w:t>1.科学技术支出(类)84.98万元,占66.00%。</w:t>
      </w:r>
    </w:p>
    <w:p w14:paraId="03BF618B">
      <w:pPr>
        <w:spacing w:line="580" w:lineRule="exact"/>
        <w:ind w:firstLine="640"/>
        <w:jc w:val="both"/>
      </w:pPr>
      <w:r>
        <w:rPr>
          <w:rFonts w:ascii="仿宋_GB2312" w:hAnsi="仿宋_GB2312" w:eastAsia="仿宋_GB2312"/>
          <w:b w:val="0"/>
          <w:sz w:val="32"/>
        </w:rPr>
        <w:t>2.社会保障和就业支出(类)28.23万元,占21.93%。</w:t>
      </w:r>
    </w:p>
    <w:p w14:paraId="547741C4">
      <w:pPr>
        <w:spacing w:line="580" w:lineRule="exact"/>
        <w:ind w:firstLine="640"/>
        <w:jc w:val="both"/>
      </w:pPr>
      <w:r>
        <w:rPr>
          <w:rFonts w:ascii="仿宋_GB2312" w:hAnsi="仿宋_GB2312" w:eastAsia="仿宋_GB2312"/>
          <w:b w:val="0"/>
          <w:sz w:val="32"/>
        </w:rPr>
        <w:t>3.卫生健康支出(类)7.52万元,占5.84%。</w:t>
      </w:r>
    </w:p>
    <w:p w14:paraId="2286E0B2">
      <w:pPr>
        <w:spacing w:line="580" w:lineRule="exact"/>
        <w:ind w:firstLine="640"/>
        <w:jc w:val="both"/>
      </w:pPr>
      <w:r>
        <w:rPr>
          <w:rFonts w:ascii="仿宋_GB2312" w:hAnsi="仿宋_GB2312" w:eastAsia="仿宋_GB2312"/>
          <w:b w:val="0"/>
          <w:sz w:val="32"/>
        </w:rPr>
        <w:t>4.住房保障支出(类)8.02万元,占6.23%。</w:t>
      </w:r>
    </w:p>
    <w:p w14:paraId="55375A75">
      <w:pPr>
        <w:spacing w:line="640" w:lineRule="exact"/>
        <w:ind w:firstLine="640"/>
        <w:jc w:val="both"/>
        <w:outlineLvl w:val="3"/>
      </w:pPr>
      <w:r>
        <w:rPr>
          <w:rFonts w:ascii="楷体_GB2312" w:hAnsi="楷体_GB2312" w:eastAsia="楷体_GB2312"/>
          <w:b/>
          <w:sz w:val="32"/>
        </w:rPr>
        <w:t>（三）一般公共预算财政拨款支出决算具体情况</w:t>
      </w:r>
    </w:p>
    <w:p w14:paraId="1E57996E">
      <w:pPr>
        <w:spacing w:line="580" w:lineRule="exact"/>
        <w:ind w:firstLine="640"/>
        <w:jc w:val="both"/>
      </w:pPr>
      <w:r>
        <w:rPr>
          <w:rFonts w:ascii="仿宋_GB2312" w:hAnsi="仿宋_GB2312" w:eastAsia="仿宋_GB2312"/>
          <w:b w:val="0"/>
          <w:sz w:val="32"/>
        </w:rPr>
        <w:t>1.科学技术支出(类)科学技术管理事务(款)其他科学技术管理事务支出(项):支出决算数为0.00万元，比上年决算减少1.31万元，下降100.00%,主要原因是：本年减少托里县科学技术协会开展科技知识宣传普及等科普活动项目。</w:t>
      </w:r>
    </w:p>
    <w:p w14:paraId="116CCC5D">
      <w:pPr>
        <w:spacing w:line="580" w:lineRule="exact"/>
        <w:ind w:firstLine="640"/>
        <w:jc w:val="both"/>
      </w:pPr>
      <w:r>
        <w:rPr>
          <w:rFonts w:ascii="仿宋_GB2312" w:hAnsi="仿宋_GB2312" w:eastAsia="仿宋_GB2312"/>
          <w:b w:val="0"/>
          <w:sz w:val="32"/>
        </w:rPr>
        <w:t>2.科学技术支出(类)科学技术普及(款)机构运行(项):支出决算数为84.98万元，比上年决算增加7.42万元，增长9.57%,主要原因是：本年在职人员工资基数调增，相关人员经费增加。</w:t>
      </w:r>
    </w:p>
    <w:p w14:paraId="552B8CDC">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3.社会保障和就业支出(类)行政事业单位养老支出(款)行政单位离退休(项):支出决算数为3.85万元，比上年决算减少1.57万元，下降28.97%,主要原因是：本年未补发退休人员基础绩效，导致退休费减少。</w:t>
      </w:r>
    </w:p>
    <w:p w14:paraId="265E4895">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10.07万元，比上年决算增加0.13万元，增长1.31%,主要原因是：本年在职人员工资基数调增，养老缴费基数上涨，相应支出增加。</w:t>
      </w:r>
    </w:p>
    <w:p w14:paraId="22993C60">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5.社会保障和就业支出(类)行政事业单位养老支出(款)机关事业单位职业年金缴费支出(项):支出决算数为14.32万元，比上年决算增加14.32万元，增长100.00%,主要原因是：本年新增退休人员，职业年金缴费支出增加。</w:t>
      </w:r>
    </w:p>
    <w:p w14:paraId="61134E17">
      <w:pPr>
        <w:spacing w:line="580" w:lineRule="exact"/>
        <w:ind w:firstLine="640"/>
        <w:jc w:val="both"/>
      </w:pPr>
      <w:r>
        <w:rPr>
          <w:rFonts w:ascii="仿宋_GB2312" w:hAnsi="仿宋_GB2312" w:eastAsia="仿宋_GB2312"/>
          <w:b w:val="0"/>
          <w:sz w:val="32"/>
        </w:rPr>
        <w:t>6.卫生健康支出(类)行政事业单位医疗(款)行政单位医疗(项):支出决算数为5.20万元，比上年决算增加0.35万元，增长7.22%,主要原因是：本年在职人员工资基数调增，医疗缴费基数上涨，相应支出增加。</w:t>
      </w:r>
    </w:p>
    <w:p w14:paraId="67BCC4F4">
      <w:pPr>
        <w:spacing w:line="580" w:lineRule="exact"/>
        <w:ind w:firstLine="640"/>
        <w:jc w:val="both"/>
      </w:pPr>
      <w:r>
        <w:rPr>
          <w:rFonts w:ascii="仿宋_GB2312" w:hAnsi="仿宋_GB2312" w:eastAsia="仿宋_GB2312"/>
          <w:b w:val="0"/>
          <w:sz w:val="32"/>
        </w:rPr>
        <w:t>7.卫生健康支出(类)行政事业单位医疗(款)公务员医疗补助(项):支出决算数为2.32万元，比上年决算增加0.18万元，增长8.41%,主要原因是：本年在职人员工资基数调增，医疗缴费基数上涨，相应支出增加。</w:t>
      </w:r>
    </w:p>
    <w:p w14:paraId="1EBA51B3">
      <w:pPr>
        <w:spacing w:line="580" w:lineRule="exact"/>
        <w:ind w:firstLine="640"/>
        <w:jc w:val="both"/>
      </w:pPr>
      <w:r>
        <w:rPr>
          <w:rFonts w:ascii="仿宋_GB2312" w:hAnsi="仿宋_GB2312" w:eastAsia="仿宋_GB2312"/>
          <w:b w:val="0"/>
          <w:sz w:val="32"/>
        </w:rPr>
        <w:t>8.住房保障支出(类)住房改革支出(款)住房公积金(项):支出决算数为8.02万元，比上年决算增加0.15万元，增长1.91%,主要原因是：本年在职人员工资基数调增，公积金缴费基数上涨，相应支出增加。</w:t>
      </w:r>
    </w:p>
    <w:p w14:paraId="618A4781">
      <w:pPr>
        <w:spacing w:line="640" w:lineRule="exact"/>
        <w:ind w:firstLine="640"/>
        <w:jc w:val="both"/>
        <w:outlineLvl w:val="2"/>
      </w:pPr>
      <w:r>
        <w:rPr>
          <w:rFonts w:ascii="黑体" w:hAnsi="黑体" w:eastAsia="黑体"/>
          <w:sz w:val="32"/>
        </w:rPr>
        <w:t>六、一般公共预算财政拨款基本支出决算情况说明</w:t>
      </w:r>
    </w:p>
    <w:p w14:paraId="63A60609">
      <w:pPr>
        <w:spacing w:line="580" w:lineRule="exact"/>
        <w:ind w:firstLine="640"/>
        <w:jc w:val="both"/>
      </w:pPr>
      <w:r>
        <w:rPr>
          <w:rFonts w:ascii="仿宋_GB2312" w:hAnsi="仿宋_GB2312" w:eastAsia="仿宋_GB2312"/>
          <w:b w:val="0"/>
          <w:sz w:val="32"/>
        </w:rPr>
        <w:t>2024年度一般公共预算财政拨款基本支出128.75万元，其中：</w:t>
      </w:r>
      <w:r>
        <w:rPr>
          <w:rFonts w:ascii="仿宋_GB2312" w:hAnsi="仿宋_GB2312" w:eastAsia="仿宋_GB2312"/>
          <w:b/>
          <w:sz w:val="32"/>
        </w:rPr>
        <w:t>人员经费124.84万元，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177D21CA">
      <w:pPr>
        <w:spacing w:line="580" w:lineRule="exact"/>
        <w:ind w:firstLine="640"/>
        <w:jc w:val="both"/>
      </w:pPr>
      <w:r>
        <w:rPr>
          <w:rFonts w:ascii="仿宋_GB2312" w:hAnsi="仿宋_GB2312" w:eastAsia="仿宋_GB2312"/>
          <w:b/>
          <w:sz w:val="32"/>
        </w:rPr>
        <w:t>公用经费3.91万元，</w:t>
      </w:r>
      <w:r>
        <w:rPr>
          <w:rFonts w:ascii="仿宋_GB2312" w:hAnsi="仿宋_GB2312" w:eastAsia="仿宋_GB2312"/>
          <w:b w:val="0"/>
          <w:sz w:val="32"/>
        </w:rPr>
        <w:t>包括：办公费、邮电费、取暖费、劳务费、工会经费。</w:t>
      </w:r>
    </w:p>
    <w:p w14:paraId="13BF75C8">
      <w:pPr>
        <w:spacing w:line="640" w:lineRule="exact"/>
        <w:ind w:firstLine="640"/>
        <w:jc w:val="both"/>
        <w:outlineLvl w:val="2"/>
      </w:pPr>
      <w:r>
        <w:rPr>
          <w:rFonts w:ascii="黑体" w:hAnsi="黑体" w:eastAsia="黑体"/>
          <w:sz w:val="32"/>
        </w:rPr>
        <w:t>七、政府性基金预算财政拨款收入支出决算情况说明</w:t>
      </w:r>
    </w:p>
    <w:p w14:paraId="585D176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D6CB298">
      <w:pPr>
        <w:spacing w:line="640" w:lineRule="exact"/>
        <w:ind w:firstLine="640"/>
        <w:jc w:val="both"/>
        <w:outlineLvl w:val="2"/>
      </w:pPr>
      <w:r>
        <w:rPr>
          <w:rFonts w:ascii="黑体" w:hAnsi="黑体" w:eastAsia="黑体"/>
          <w:sz w:val="32"/>
        </w:rPr>
        <w:t>八、国有资本经营预算财政拨款收入支出决算情况说明</w:t>
      </w:r>
    </w:p>
    <w:p w14:paraId="1700C30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66FFFB1">
      <w:pPr>
        <w:spacing w:line="640" w:lineRule="exact"/>
        <w:ind w:firstLine="640"/>
        <w:jc w:val="both"/>
        <w:outlineLvl w:val="2"/>
      </w:pPr>
      <w:r>
        <w:rPr>
          <w:rFonts w:ascii="黑体" w:hAnsi="黑体" w:eastAsia="黑体"/>
          <w:sz w:val="32"/>
        </w:rPr>
        <w:t>九、财政拨款“三公”经费支出决算情况说明</w:t>
      </w:r>
    </w:p>
    <w:p w14:paraId="6BA3B98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0.40万元，下降100.00%，主要原因是：本年未安排公务接待工作，导致公务接待费较上年减少。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减少0.40万元，下降100.00%，主要原因是：严格落实中央八项规定精神，厉行节约，减少公务接待费。</w:t>
      </w:r>
    </w:p>
    <w:p w14:paraId="69BFFDD1">
      <w:pPr>
        <w:spacing w:line="580" w:lineRule="exact"/>
        <w:ind w:firstLine="640"/>
        <w:jc w:val="both"/>
      </w:pPr>
      <w:r>
        <w:rPr>
          <w:rFonts w:ascii="仿宋_GB2312" w:hAnsi="仿宋_GB2312" w:eastAsia="仿宋_GB2312"/>
          <w:b/>
          <w:sz w:val="32"/>
        </w:rPr>
        <w:t>具体情况如下：</w:t>
      </w:r>
    </w:p>
    <w:p w14:paraId="7FDBE84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0C1555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由于该车辆无牌照</w:t>
      </w:r>
      <w:r>
        <w:rPr>
          <w:rFonts w:hint="eastAsia" w:ascii="仿宋_GB2312" w:hAnsi="仿宋_GB2312" w:eastAsia="仿宋_GB2312"/>
          <w:b w:val="0"/>
          <w:sz w:val="32"/>
          <w:lang w:eastAsia="zh-CN"/>
        </w:rPr>
        <w:t>本单位</w:t>
      </w:r>
      <w:r>
        <w:rPr>
          <w:rFonts w:ascii="仿宋_GB2312" w:hAnsi="仿宋_GB2312" w:eastAsia="仿宋_GB2312"/>
          <w:b w:val="0"/>
          <w:sz w:val="32"/>
        </w:rPr>
        <w:t>未使用车辆，不产生车辆使用费。</w:t>
      </w:r>
    </w:p>
    <w:p w14:paraId="43B1FF9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9BC81D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DAA779B">
      <w:pPr>
        <w:spacing w:line="640" w:lineRule="exact"/>
        <w:ind w:firstLine="640"/>
        <w:jc w:val="both"/>
        <w:outlineLvl w:val="2"/>
      </w:pPr>
      <w:r>
        <w:rPr>
          <w:rFonts w:ascii="黑体" w:hAnsi="黑体" w:eastAsia="黑体"/>
          <w:sz w:val="32"/>
        </w:rPr>
        <w:t>十、其他重要事项的情况说明</w:t>
      </w:r>
    </w:p>
    <w:p w14:paraId="40C713A8">
      <w:pPr>
        <w:spacing w:line="640" w:lineRule="exact"/>
        <w:ind w:firstLine="640"/>
        <w:jc w:val="both"/>
        <w:outlineLvl w:val="3"/>
      </w:pPr>
      <w:bookmarkStart w:id="0" w:name="_GoBack"/>
      <w:bookmarkEnd w:id="0"/>
      <w:r>
        <w:rPr>
          <w:rFonts w:ascii="楷体_GB2312" w:hAnsi="楷体_GB2312" w:eastAsia="楷体_GB2312"/>
          <w:b/>
          <w:sz w:val="32"/>
        </w:rPr>
        <w:t>（一）机关运行经费及公用经费支出情况</w:t>
      </w:r>
    </w:p>
    <w:p w14:paraId="391A915E">
      <w:pPr>
        <w:spacing w:line="580" w:lineRule="exact"/>
        <w:ind w:firstLine="640"/>
        <w:jc w:val="both"/>
      </w:pPr>
      <w:r>
        <w:rPr>
          <w:rFonts w:ascii="仿宋_GB2312" w:hAnsi="仿宋_GB2312" w:eastAsia="仿宋_GB2312"/>
          <w:b w:val="0"/>
          <w:sz w:val="32"/>
        </w:rPr>
        <w:t>2024年度托里县科学技术协会（行政单位和参照公务员法管理事业单位）机关运行经费支出3.91万元，比上年增加0.88万元，增长29.04%，主要原因是：本年增加办公费用，导致公用经费增加。</w:t>
      </w:r>
    </w:p>
    <w:p w14:paraId="4EBCF9B7">
      <w:pPr>
        <w:spacing w:line="640" w:lineRule="exact"/>
        <w:ind w:firstLine="640"/>
        <w:jc w:val="both"/>
        <w:outlineLvl w:val="3"/>
      </w:pPr>
      <w:r>
        <w:rPr>
          <w:rFonts w:ascii="楷体_GB2312" w:hAnsi="楷体_GB2312" w:eastAsia="楷体_GB2312"/>
          <w:b/>
          <w:sz w:val="32"/>
        </w:rPr>
        <w:t>（二）政府采购情况</w:t>
      </w:r>
    </w:p>
    <w:p w14:paraId="1A799ECD">
      <w:pPr>
        <w:spacing w:line="580" w:lineRule="exact"/>
        <w:ind w:firstLine="640"/>
        <w:jc w:val="both"/>
      </w:pPr>
      <w:r>
        <w:rPr>
          <w:rFonts w:ascii="仿宋_GB2312" w:hAnsi="仿宋_GB2312" w:eastAsia="仿宋_GB2312"/>
          <w:b w:val="0"/>
          <w:sz w:val="32"/>
        </w:rPr>
        <w:t>2024年度政府采购支出总额1.19万元，其中：政府采购货物支出0.00万元、政府采购工程支出0.00万元、政府采购服务支出1.19万元。</w:t>
      </w:r>
    </w:p>
    <w:p w14:paraId="77414ABF">
      <w:pPr>
        <w:spacing w:line="580" w:lineRule="exact"/>
        <w:ind w:firstLine="640"/>
        <w:jc w:val="both"/>
      </w:pPr>
      <w:r>
        <w:rPr>
          <w:rFonts w:ascii="仿宋_GB2312" w:hAnsi="仿宋_GB2312" w:eastAsia="仿宋_GB2312"/>
          <w:b w:val="0"/>
          <w:sz w:val="32"/>
        </w:rPr>
        <w:t>授予中小企业合同金额1.19万元，占政府采购支出总额的100.00%，其中：授予小微企业合同金额1.19万元，占政府采购支出总额的100.00%。</w:t>
      </w:r>
    </w:p>
    <w:p w14:paraId="2D92FE49">
      <w:pPr>
        <w:spacing w:line="640" w:lineRule="exact"/>
        <w:ind w:firstLine="640"/>
        <w:jc w:val="both"/>
        <w:outlineLvl w:val="3"/>
      </w:pPr>
      <w:r>
        <w:rPr>
          <w:rFonts w:ascii="楷体_GB2312" w:hAnsi="楷体_GB2312" w:eastAsia="楷体_GB2312"/>
          <w:b/>
          <w:sz w:val="32"/>
        </w:rPr>
        <w:t>（三）国有资产占用情况说明</w:t>
      </w:r>
    </w:p>
    <w:p w14:paraId="1BD8C56E">
      <w:pPr>
        <w:spacing w:line="580" w:lineRule="exact"/>
        <w:ind w:firstLine="640"/>
        <w:jc w:val="both"/>
      </w:pPr>
      <w:r>
        <w:rPr>
          <w:rFonts w:ascii="仿宋_GB2312" w:hAnsi="仿宋_GB2312" w:eastAsia="仿宋_GB2312"/>
          <w:b w:val="0"/>
          <w:sz w:val="32"/>
        </w:rPr>
        <w:t>截至2024年12月31日，房屋0.00平方米，价值0.00万元。车辆1辆，价值18.00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3F3771A0">
      <w:pPr>
        <w:spacing w:line="640" w:lineRule="exact"/>
        <w:ind w:firstLine="640"/>
        <w:jc w:val="both"/>
        <w:outlineLvl w:val="2"/>
      </w:pPr>
      <w:r>
        <w:rPr>
          <w:rFonts w:ascii="黑体" w:hAnsi="黑体" w:eastAsia="黑体"/>
          <w:sz w:val="32"/>
        </w:rPr>
        <w:t>十一、预算绩效的情况说明</w:t>
      </w:r>
    </w:p>
    <w:p w14:paraId="63FC8E6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128.75万元，实际执行总额128.75万元；预算绩效评价项目0个，全年预算数0.00万元，全年执行数0.00万元。预算绩效管理取得的成效：本单位无预算绩效项目。发现的问题及原因：本单位无预算绩效项目。下一步改进措施：本单位无预算绩效项目。具体附整体支出绩效自评表。</w:t>
      </w:r>
    </w:p>
    <w:p w14:paraId="4BB48CB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2BA70D3">
        <w:tblPrEx>
          <w:tblCellMar>
            <w:top w:w="0" w:type="dxa"/>
            <w:left w:w="108" w:type="dxa"/>
            <w:bottom w:w="0" w:type="dxa"/>
            <w:right w:w="108" w:type="dxa"/>
          </w:tblCellMar>
        </w:tblPrEx>
        <w:tc>
          <w:tcPr>
            <w:tcW w:w="8840" w:type="dxa"/>
            <w:gridSpan w:val="8"/>
            <w:vAlign w:val="center"/>
          </w:tcPr>
          <w:p w14:paraId="3CBFE826">
            <w:pPr>
              <w:jc w:val="center"/>
            </w:pPr>
            <w:r>
              <w:rPr>
                <w:rFonts w:ascii="宋体" w:hAnsi="宋体" w:eastAsia="宋体"/>
                <w:sz w:val="24"/>
              </w:rPr>
              <w:t>单位整体支出绩效自评表</w:t>
            </w:r>
          </w:p>
        </w:tc>
      </w:tr>
      <w:tr w14:paraId="5DDA0A96">
        <w:tblPrEx>
          <w:tblCellMar>
            <w:top w:w="0" w:type="dxa"/>
            <w:left w:w="108" w:type="dxa"/>
            <w:bottom w:w="0" w:type="dxa"/>
            <w:right w:w="108" w:type="dxa"/>
          </w:tblCellMar>
        </w:tblPrEx>
        <w:tc>
          <w:tcPr>
            <w:tcW w:w="8840" w:type="dxa"/>
            <w:gridSpan w:val="8"/>
            <w:vAlign w:val="center"/>
          </w:tcPr>
          <w:p w14:paraId="4DBC5347">
            <w:pPr>
              <w:jc w:val="center"/>
            </w:pPr>
            <w:r>
              <w:rPr>
                <w:rFonts w:ascii="宋体" w:hAnsi="宋体" w:eastAsia="宋体"/>
                <w:sz w:val="24"/>
              </w:rPr>
              <w:t>（2024年度）</w:t>
            </w:r>
          </w:p>
        </w:tc>
      </w:tr>
      <w:tr w14:paraId="44C6FB4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B240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D9D3CA">
            <w:pPr>
              <w:jc w:val="center"/>
            </w:pPr>
            <w:r>
              <w:rPr>
                <w:rFonts w:ascii="宋体" w:hAnsi="宋体" w:eastAsia="宋体"/>
                <w:sz w:val="16"/>
              </w:rPr>
              <w:t>托里县科学技术协会</w:t>
            </w:r>
          </w:p>
        </w:tc>
      </w:tr>
      <w:tr w14:paraId="32E2008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7DC8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3560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15EF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1C4A6">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D2E1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3F36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C529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C561A">
            <w:pPr>
              <w:jc w:val="center"/>
            </w:pPr>
            <w:r>
              <w:rPr>
                <w:rFonts w:ascii="宋体" w:hAnsi="宋体" w:eastAsia="宋体"/>
                <w:sz w:val="16"/>
              </w:rPr>
              <w:t>得分</w:t>
            </w:r>
          </w:p>
        </w:tc>
      </w:tr>
      <w:tr w14:paraId="362095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1FED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2BBE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B756E">
            <w:pPr>
              <w:jc w:val="center"/>
            </w:pPr>
            <w:r>
              <w:rPr>
                <w:rFonts w:ascii="宋体" w:hAnsi="宋体" w:eastAsia="宋体"/>
                <w:sz w:val="16"/>
              </w:rPr>
              <w:t>118.37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716B5">
            <w:pPr>
              <w:jc w:val="center"/>
            </w:pPr>
            <w:r>
              <w:rPr>
                <w:rFonts w:ascii="宋体" w:hAnsi="宋体" w:eastAsia="宋体"/>
                <w:sz w:val="16"/>
              </w:rPr>
              <w:t>128.75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BF041">
            <w:pPr>
              <w:jc w:val="center"/>
            </w:pPr>
            <w:r>
              <w:rPr>
                <w:rFonts w:ascii="宋体" w:hAnsi="宋体" w:eastAsia="宋体"/>
                <w:sz w:val="16"/>
              </w:rPr>
              <w:t>128.75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44BA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88DC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07EEF">
            <w:pPr>
              <w:jc w:val="center"/>
            </w:pPr>
            <w:r>
              <w:rPr>
                <w:rFonts w:ascii="宋体" w:hAnsi="宋体" w:eastAsia="宋体"/>
                <w:sz w:val="16"/>
              </w:rPr>
              <w:t>10</w:t>
            </w:r>
          </w:p>
        </w:tc>
      </w:tr>
      <w:tr w14:paraId="76AF69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09AF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2927D">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344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653B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11E4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6DC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18A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19E7A">
            <w:pPr>
              <w:jc w:val="center"/>
            </w:pPr>
            <w:r>
              <w:rPr>
                <w:rFonts w:ascii="宋体" w:hAnsi="宋体" w:eastAsia="宋体"/>
                <w:sz w:val="16"/>
              </w:rPr>
              <w:t>-</w:t>
            </w:r>
          </w:p>
        </w:tc>
      </w:tr>
      <w:tr w14:paraId="7EF543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0E64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4B5C9">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69AD7">
            <w:pPr>
              <w:jc w:val="center"/>
            </w:pPr>
            <w:r>
              <w:rPr>
                <w:rFonts w:ascii="宋体" w:hAnsi="宋体" w:eastAsia="宋体"/>
                <w:sz w:val="16"/>
              </w:rPr>
              <w:t>118.37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D854E">
            <w:pPr>
              <w:jc w:val="center"/>
            </w:pPr>
            <w:r>
              <w:rPr>
                <w:rFonts w:ascii="宋体" w:hAnsi="宋体" w:eastAsia="宋体"/>
                <w:sz w:val="16"/>
              </w:rPr>
              <w:t>128.75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97842">
            <w:pPr>
              <w:jc w:val="center"/>
            </w:pPr>
            <w:r>
              <w:rPr>
                <w:rFonts w:ascii="宋体" w:hAnsi="宋体" w:eastAsia="宋体"/>
                <w:sz w:val="16"/>
              </w:rPr>
              <w:t>128.75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20D5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D669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1F2E8">
            <w:pPr>
              <w:jc w:val="center"/>
            </w:pPr>
            <w:r>
              <w:rPr>
                <w:rFonts w:ascii="宋体" w:hAnsi="宋体" w:eastAsia="宋体"/>
                <w:sz w:val="16"/>
              </w:rPr>
              <w:t>-</w:t>
            </w:r>
          </w:p>
        </w:tc>
      </w:tr>
      <w:tr w14:paraId="1E244B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FB79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03A8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F1F8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A22A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B4AB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A6E3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DB8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46E22">
            <w:pPr>
              <w:jc w:val="center"/>
            </w:pPr>
            <w:r>
              <w:rPr>
                <w:rFonts w:ascii="宋体" w:hAnsi="宋体" w:eastAsia="宋体"/>
                <w:sz w:val="16"/>
              </w:rPr>
              <w:t>-</w:t>
            </w:r>
          </w:p>
        </w:tc>
      </w:tr>
      <w:tr w14:paraId="13AE21A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91ABF">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70E60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2DC8C0">
            <w:pPr>
              <w:jc w:val="center"/>
            </w:pPr>
            <w:r>
              <w:rPr>
                <w:rFonts w:ascii="宋体" w:hAnsi="宋体" w:eastAsia="宋体"/>
                <w:sz w:val="16"/>
              </w:rPr>
              <w:t>实际完成情况</w:t>
            </w:r>
          </w:p>
        </w:tc>
      </w:tr>
      <w:tr w14:paraId="582898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14AED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D85828">
            <w:pPr>
              <w:jc w:val="both"/>
            </w:pPr>
            <w:r>
              <w:rPr>
                <w:rFonts w:ascii="宋体" w:hAnsi="宋体" w:eastAsia="宋体"/>
                <w:sz w:val="16"/>
              </w:rPr>
              <w:t>（一）平台架构擘画与合作项目落子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2024年初，托里县科学技术协会将正式启动科学文化传播平台建设，根据县域特色及居民需求，精心设计涵盖科普教育、科技资讯发布、科技成果展示等核心功能的多元模块。具体而言，协会已成功牵手新疆农业大学生命科学学院以及本地知名企业阿萨尔食品有限公司，签署合作协议共建校企合作基地，并通过平台展现双方在生物技术、食品安全检测等方面不少于5项的深度合作成果，同步提供至少10个实训岗位信息，推动科教资源与地方产业深度融合。</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（二）全年活动策划执行体系化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协会全年规划举办线上线下结合的科普活动共计100场以上，其中包含“科学在身边”公益讲座系列12期，邀请专家学者及本土科研人才亲临分享，惠及全县民众。同时，组织两次“探索天山”大型科学考察与展览活动，吸引全县逾50000人次参与，尤其关注青少年群体的实地科学体验。此外，围绕重要节日和社会热点话题，每季度策划开展主题科普活动，确保科普工作连续不断，形成年度科普活动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（三）媒体融合传播全方位布局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深化与托里县各大主流媒体战略合作，开创科普宣传新局面。如：积极运用新媒体手段，通过微信公众号、微博、抖音、快手等平台，计划制作发布20条以上趣味性高、易理解的科普短视频及图文信息，实现科普内容在传统媒体与新兴媒体间的无缝链接与广泛传播，力争科普触达全县80%以上的居民日常生活，全面提升全民科学素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二、天山科技云信息平台搭建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（一）需求调研与规划精雕细琢：深入调研全县，挖掘千条反馈</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在2024年，托里县科学技术协会将组织专业团队对全县20余家企事业单位和科研人员进行深入细致的需求调研，通过问卷调查、面对面访谈等形式收集有效反馈300条意见。</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（二）资源整合共建共享生态建设：引领企研机构入驻，举办数场交流，实现信息无缝对接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预计到2024年底，我们将积极推动超过50%的本地科技企业和科研机构入驻天山科技云信息平台，签署合作协议，并举办季度性合作交流会4次，旨在鼓励各方积极上传并实时更新科研成果报告、行业趋势分析文章和技术解决方案案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三、强化顶层设计，推动青少年科普工作与新时代文明实践深度融合</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(一)深入开展青少年科技教育工作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制定每月一主题科普“无神论教育”、“去极端化”专项行动工作方案。为进一步在全社会弘扬科学精神、普及科学知识、传播科学理念、引导科学生活，深入开展“无神论教育”、“去极端化”，不断提高托里县中小学生科学文化素质，紧紧围绕地委中心工作，通过科学知识的认知，着力提高广大中小学生运用科学知识认识世界、认识物质世界规律、生命起源规律和人类社会发展规律的能力，树立科学、健康、文明的生产生活方式，让科学思想走进乡村、学校、生活、每个家庭，每个校园。引导广大青少年增强科学意识和鉴别能力，破除愚昧思想和落后习俗，让科学思想在各学校广泛传播</w:t>
            </w:r>
            <w:r>
              <w:rPr>
                <w:rFonts w:hint="eastAsia" w:ascii="宋体" w:hAnsi="宋体"/>
                <w:sz w:val="16"/>
                <w:lang w:eastAsia="zh-CN"/>
              </w:rPr>
              <w:t>，让</w:t>
            </w:r>
            <w:r>
              <w:rPr>
                <w:rFonts w:ascii="宋体" w:hAnsi="宋体" w:eastAsia="宋体"/>
                <w:sz w:val="16"/>
              </w:rPr>
              <w:t>科学思想在广大青少年心中深深扎根，努力形成爱科学、学科学、讲科学、用科学的社会风尚少年。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（二）认真举办青少年科技创新大赛。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一是充实托里县</w:t>
            </w:r>
            <w:r>
              <w:rPr>
                <w:rFonts w:hint="eastAsia" w:ascii="宋体" w:hAnsi="宋体"/>
                <w:sz w:val="16"/>
                <w:lang w:eastAsia="zh-CN"/>
              </w:rPr>
              <w:t>青年</w:t>
            </w:r>
            <w:r>
              <w:rPr>
                <w:rFonts w:ascii="宋体" w:hAnsi="宋体" w:eastAsia="宋体"/>
                <w:sz w:val="16"/>
              </w:rPr>
              <w:t>科技创新大赛组委会评审队伍。与县教科局积极沟通协调，推选各校相关专业教师3名，调整“托里县青少年科技创新大赛”评审组，按照青少年科技创新大赛的相关要求，结合实际情况对县级大赛各类作品进行评审，并推举优秀作品积极参加地区、自治区科协大赛。二是动员、组织全县各级学校积极参加竞赛活动，设参赛项目4项（科技创新成果项目、少年儿童科学幻想绘画、青少年科技实践活动、优秀科技辅导员评选），参赛学生300-400余人、参赛科技辅导员及教师20余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AFB370">
            <w:pPr>
              <w:jc w:val="both"/>
            </w:pPr>
            <w:r>
              <w:rPr>
                <w:rFonts w:ascii="宋体" w:hAnsi="宋体" w:eastAsia="宋体"/>
                <w:sz w:val="16"/>
              </w:rPr>
              <w:t>（一）平台架构擘画与合作项目落子2024年初，托里县科学技术协会将正式启动科学文化传播平台建设，根据县域特色及居民需求，精心设计涵盖科普教育、科技资讯发布、科技成果展示等核心功能的多元模块。具体而言，协会已成功牵手新疆农业大学生命科学学院以及本地知名企业阿萨尔食品有限公司，签署合作协议共建校企合作基地，并通过平台展现双方在生物技术、食品安全检测等方面不少于5项的深度合作成果，同步提供至少10个实训岗位信息，推动科教资源与地方产业深度融合。（二）全年活动策划执行体系化协会全年规划举办线上线下结合的科普活动共计16场以上，其中包含“科学在身边”公益讲座系列20场，邀请专家学者及本土科研人才亲临分享，惠及全县民众。同时，组织两次“探索天山”大型科学考察与展览活动，吸引全县逾500人次参与，尤其关注青少年群体的实地科学体验。此外，围绕重要节日和社会热点话题，每季度策划开展主题科普活动，确保科普工作连续不断，形成年度科普活动链。（三）媒体融合传播全方位布局深化与托里县各大主流媒体战略合作，开创科普宣传新局面。如：积极运用新媒体手段，通过微信公众号、微博、抖音、快手等平台，计划制作发布25条以上趣味性高、易理解的科普短视频及图文信息，实现科普内容在传统媒体与新兴媒体间的无缝链接与广泛传播，力争科普触达全县80%以上的居民日常生活，全面提升全民科学素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天山科技云信息平台搭建（一）需求调研与规划精雕细琢：深入调研全县，挖掘千条反馈在2024年，托里县科学技术协会将组织专业团队对全县20余家企事业单位和科研人员进行深入细致的需求调研，通过问卷调查、面对面访谈等形式收集有效反馈300条意见。（二）资源整合共建共享生态建设：引领企研机构入驻，举办数场交流，实现信息无缝对接预计到2024年底，我们将积极推动超过50%的本地科技企业和科研机构入驻天山科技云信息平台，签署合作协议，并举办季度性合作交流会3次，旨在鼓励各方积极上传并实时更新科研成果报告、行业趋势分析文章和技术解决方案案例。三、强化顶层设计，推动青少年科普工作与新时代文明实践深度融合(一)深入开展青少年科技教育工作制定每月一主题科普“无神论教育”、“去极端化”专项行动工作方案。为进一步在全社会弘扬科学精神、普及科学知识、传播科学理念、引导科学生活，深入开展“无神论教育”、“去极端化”，不断提高托里县中小学生科学文化素质，紧紧围绕地委中心工作，通过科学知识的认知，着力提高广大中小学生运用科学知识认识世界、认识物质世界规律、生命起源规律和人类社会发展规律的能力，树立科学、健康、文明的生产生活方式，让科学思想走进乡村、学校、生活、每个家庭，每个校园。引导广大青少年增强科学意识和鉴别能力，破除愚昧思想和落后习俗，让科学思想在各学校广泛传播</w:t>
            </w:r>
            <w:r>
              <w:rPr>
                <w:rFonts w:hint="eastAsia" w:ascii="宋体" w:hAnsi="宋体"/>
                <w:sz w:val="16"/>
                <w:lang w:eastAsia="zh-CN"/>
              </w:rPr>
              <w:t>，让</w:t>
            </w:r>
            <w:r>
              <w:rPr>
                <w:rFonts w:ascii="宋体" w:hAnsi="宋体" w:eastAsia="宋体"/>
                <w:sz w:val="16"/>
              </w:rPr>
              <w:t>科学思想在广大青少年心中深深扎根，努力形成爱科学、学科学、讲科学、用科学的社会风尚少年。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（二）认真举办青少年科技创新大赛。一是充实托里县</w:t>
            </w:r>
            <w:r>
              <w:rPr>
                <w:rFonts w:hint="eastAsia" w:ascii="宋体" w:hAnsi="宋体"/>
                <w:sz w:val="16"/>
                <w:lang w:eastAsia="zh-CN"/>
              </w:rPr>
              <w:t>青年</w:t>
            </w:r>
            <w:r>
              <w:rPr>
                <w:rFonts w:ascii="宋体" w:hAnsi="宋体" w:eastAsia="宋体"/>
                <w:sz w:val="16"/>
              </w:rPr>
              <w:t>科技创新大赛组委会评审队伍。与县教科局积极沟通协调，推选各校相关专业教师3名，调整“托里县青少年科技创新大赛”评审组，按照青少年科技创新大赛的相关要求，结合实际情况对县级大赛各类作品进行评审，并推举优秀作品积极参加地区、自治区科协大赛。二是动员、组织全县各级学校积极参加竞赛活动，设参赛项目4项（科技创新成果项目、少年儿童科学幻想绘画、青少年科技实践活动、优秀科技辅导员评选），参赛学生300-400余人、参赛科技辅导员及教师20余人。</w:t>
            </w:r>
          </w:p>
        </w:tc>
      </w:tr>
      <w:tr w14:paraId="6AD9620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DA15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C000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698A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0D65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E68A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8E21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AEB9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A07FD">
            <w:pPr>
              <w:jc w:val="center"/>
            </w:pPr>
            <w:r>
              <w:rPr>
                <w:rFonts w:ascii="宋体" w:hAnsi="宋体" w:eastAsia="宋体"/>
                <w:sz w:val="16"/>
              </w:rPr>
              <w:t>得分</w:t>
            </w:r>
          </w:p>
        </w:tc>
      </w:tr>
      <w:tr w14:paraId="102A693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EE9F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17B3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C0C36">
            <w:pPr>
              <w:jc w:val="center"/>
            </w:pPr>
            <w:r>
              <w:rPr>
                <w:rFonts w:ascii="宋体" w:hAnsi="宋体" w:eastAsia="宋体"/>
                <w:sz w:val="16"/>
              </w:rPr>
              <w:t>支持科技创新基地项目数量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63B18">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5FF5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469A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B3956">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57143">
            <w:pPr>
              <w:jc w:val="center"/>
            </w:pPr>
            <w:r>
              <w:rPr>
                <w:rFonts w:ascii="宋体" w:hAnsi="宋体" w:eastAsia="宋体"/>
                <w:sz w:val="16"/>
              </w:rPr>
              <w:t>10</w:t>
            </w:r>
          </w:p>
        </w:tc>
      </w:tr>
      <w:tr w14:paraId="0C6285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AFF01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85E0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DDAC1">
            <w:pPr>
              <w:jc w:val="center"/>
            </w:pPr>
            <w:r>
              <w:rPr>
                <w:rFonts w:ascii="宋体" w:hAnsi="宋体" w:eastAsia="宋体"/>
                <w:sz w:val="16"/>
              </w:rPr>
              <w:t>全年科普活动场次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84051">
            <w:pPr>
              <w:jc w:val="center"/>
            </w:pPr>
            <w:r>
              <w:rPr>
                <w:rFonts w:ascii="宋体" w:hAnsi="宋体" w:eastAsia="宋体"/>
                <w:sz w:val="16"/>
              </w:rPr>
              <w:t>&gt;=100场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A12C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52AC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C221C">
            <w:pPr>
              <w:jc w:val="center"/>
            </w:pPr>
            <w:r>
              <w:rPr>
                <w:rFonts w:ascii="宋体" w:hAnsi="宋体" w:eastAsia="宋体"/>
                <w:sz w:val="16"/>
              </w:rPr>
              <w:t>16场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3CA36">
            <w:pPr>
              <w:jc w:val="center"/>
            </w:pPr>
            <w:r>
              <w:rPr>
                <w:rFonts w:ascii="宋体" w:hAnsi="宋体" w:eastAsia="宋体"/>
                <w:sz w:val="16"/>
              </w:rPr>
              <w:t>1.6</w:t>
            </w:r>
          </w:p>
        </w:tc>
      </w:tr>
      <w:tr w14:paraId="02B8F1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AA416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6C24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DC763">
            <w:pPr>
              <w:jc w:val="center"/>
            </w:pPr>
            <w:r>
              <w:rPr>
                <w:rFonts w:ascii="宋体" w:hAnsi="宋体" w:eastAsia="宋体"/>
                <w:sz w:val="16"/>
              </w:rPr>
              <w:t>媒体融合传播科普短视频数量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3C7F1">
            <w:pPr>
              <w:jc w:val="center"/>
            </w:pPr>
            <w:r>
              <w:rPr>
                <w:rFonts w:ascii="宋体" w:hAnsi="宋体" w:eastAsia="宋体"/>
                <w:sz w:val="16"/>
              </w:rPr>
              <w:t>&gt;=20条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1C02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19EB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AA7A8">
            <w:pPr>
              <w:jc w:val="center"/>
            </w:pPr>
            <w:r>
              <w:rPr>
                <w:rFonts w:ascii="宋体" w:hAnsi="宋体" w:eastAsia="宋体"/>
                <w:sz w:val="16"/>
              </w:rPr>
              <w:t>25条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53A6D">
            <w:pPr>
              <w:jc w:val="center"/>
            </w:pPr>
            <w:r>
              <w:rPr>
                <w:rFonts w:ascii="宋体" w:hAnsi="宋体" w:eastAsia="宋体"/>
                <w:sz w:val="16"/>
              </w:rPr>
              <w:t>10</w:t>
            </w:r>
          </w:p>
        </w:tc>
      </w:tr>
      <w:tr w14:paraId="0EC4AF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B824C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9566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CBD64">
            <w:pPr>
              <w:jc w:val="center"/>
            </w:pPr>
            <w:r>
              <w:rPr>
                <w:rFonts w:ascii="宋体" w:hAnsi="宋体" w:eastAsia="宋体"/>
                <w:sz w:val="16"/>
              </w:rPr>
              <w:t>企事业单位和科研人员调研次数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69DEE">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5B15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CDFF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9312B">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7DD40">
            <w:pPr>
              <w:jc w:val="center"/>
            </w:pPr>
            <w:r>
              <w:rPr>
                <w:rFonts w:ascii="宋体" w:hAnsi="宋体" w:eastAsia="宋体"/>
                <w:sz w:val="16"/>
              </w:rPr>
              <w:t>2.5</w:t>
            </w:r>
          </w:p>
        </w:tc>
      </w:tr>
      <w:tr w14:paraId="50882E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11838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D922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BBE3A">
            <w:pPr>
              <w:jc w:val="center"/>
            </w:pPr>
            <w:r>
              <w:rPr>
                <w:rFonts w:ascii="宋体" w:hAnsi="宋体" w:eastAsia="宋体"/>
                <w:sz w:val="16"/>
              </w:rPr>
              <w:t>科研机构入驻天山科技云信息平台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C9E3F">
            <w:pPr>
              <w:jc w:val="center"/>
            </w:pPr>
            <w:r>
              <w:rPr>
                <w:rFonts w:ascii="宋体" w:hAnsi="宋体" w:eastAsia="宋体"/>
                <w:sz w:val="16"/>
              </w:rPr>
              <w:t>&gt;=50%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E21E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25FB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78476">
            <w:pPr>
              <w:jc w:val="center"/>
            </w:pPr>
            <w:r>
              <w:rPr>
                <w:rFonts w:ascii="宋体" w:hAnsi="宋体" w:eastAsia="宋体"/>
                <w:sz w:val="16"/>
              </w:rPr>
              <w: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0A7C0">
            <w:pPr>
              <w:jc w:val="center"/>
            </w:pPr>
            <w:r>
              <w:rPr>
                <w:rFonts w:ascii="宋体" w:hAnsi="宋体" w:eastAsia="宋体"/>
                <w:sz w:val="16"/>
              </w:rPr>
              <w:t>10</w:t>
            </w:r>
          </w:p>
        </w:tc>
      </w:tr>
      <w:tr w14:paraId="27CF56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D425E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0749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590E6">
            <w:pPr>
              <w:jc w:val="center"/>
            </w:pPr>
            <w:r>
              <w:rPr>
                <w:rFonts w:ascii="宋体" w:hAnsi="宋体" w:eastAsia="宋体"/>
                <w:sz w:val="16"/>
              </w:rPr>
              <w:t>开展青少年科技教育工作人次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EE8BD">
            <w:pPr>
              <w:jc w:val="center"/>
            </w:pPr>
            <w:r>
              <w:rPr>
                <w:rFonts w:ascii="宋体" w:hAnsi="宋体" w:eastAsia="宋体"/>
                <w:sz w:val="16"/>
              </w:rPr>
              <w:t>&gt;=500人次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C04C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67F4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C863F">
            <w:pPr>
              <w:jc w:val="center"/>
            </w:pPr>
            <w:r>
              <w:rPr>
                <w:rFonts w:ascii="宋体" w:hAnsi="宋体" w:eastAsia="宋体"/>
                <w:sz w:val="16"/>
              </w:rPr>
              <w:t>500人次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BDE23">
            <w:pPr>
              <w:jc w:val="center"/>
            </w:pPr>
            <w:r>
              <w:rPr>
                <w:rFonts w:ascii="宋体" w:hAnsi="宋体" w:eastAsia="宋体"/>
                <w:sz w:val="16"/>
              </w:rPr>
              <w:t>10</w:t>
            </w:r>
          </w:p>
        </w:tc>
      </w:tr>
      <w:tr w14:paraId="4722E5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A7597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1A3F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A456F">
            <w:pPr>
              <w:jc w:val="center"/>
            </w:pPr>
            <w:r>
              <w:rPr>
                <w:rFonts w:ascii="宋体" w:hAnsi="宋体" w:eastAsia="宋体"/>
                <w:sz w:val="16"/>
              </w:rPr>
              <w:t>各级各类科普讲座场数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CC500">
            <w:pPr>
              <w:jc w:val="center"/>
            </w:pPr>
            <w:r>
              <w:rPr>
                <w:rFonts w:ascii="宋体" w:hAnsi="宋体" w:eastAsia="宋体"/>
                <w:sz w:val="16"/>
              </w:rPr>
              <w:t>&gt;=20场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4684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0F55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F39DA">
            <w:pPr>
              <w:jc w:val="center"/>
            </w:pPr>
            <w:r>
              <w:rPr>
                <w:rFonts w:ascii="宋体" w:hAnsi="宋体" w:eastAsia="宋体"/>
                <w:sz w:val="16"/>
              </w:rPr>
              <w:t>20场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D4F56">
            <w:pPr>
              <w:jc w:val="center"/>
            </w:pPr>
            <w:r>
              <w:rPr>
                <w:rFonts w:ascii="宋体" w:hAnsi="宋体" w:eastAsia="宋体"/>
                <w:sz w:val="16"/>
              </w:rPr>
              <w:t>10</w:t>
            </w:r>
          </w:p>
        </w:tc>
      </w:tr>
      <w:tr w14:paraId="07F019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7BA1C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698D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D49C4">
            <w:pPr>
              <w:jc w:val="center"/>
            </w:pPr>
            <w:r>
              <w:rPr>
                <w:rFonts w:ascii="宋体" w:hAnsi="宋体" w:eastAsia="宋体"/>
                <w:sz w:val="16"/>
              </w:rPr>
              <w:t>县内外科协系统的学习交流次数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E85D8">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1C93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0FED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9AA90">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E2158">
            <w:pPr>
              <w:jc w:val="center"/>
            </w:pPr>
            <w:r>
              <w:rPr>
                <w:rFonts w:ascii="宋体" w:hAnsi="宋体" w:eastAsia="宋体"/>
                <w:sz w:val="16"/>
              </w:rPr>
              <w:t>10</w:t>
            </w:r>
          </w:p>
        </w:tc>
      </w:tr>
      <w:tr w14:paraId="77FC64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0CFE7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D5CB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96202">
            <w:pPr>
              <w:jc w:val="center"/>
            </w:pPr>
            <w:r>
              <w:rPr>
                <w:rFonts w:ascii="宋体" w:hAnsi="宋体" w:eastAsia="宋体"/>
                <w:sz w:val="16"/>
              </w:rPr>
              <w:t>深化“天山南北院士行”活动人次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009A6">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717C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251F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D4D3C">
            <w:pPr>
              <w:jc w:val="center"/>
            </w:pPr>
            <w:r>
              <w:rPr>
                <w:rFonts w:ascii="宋体" w:hAnsi="宋体" w:eastAsia="宋体"/>
                <w:sz w:val="16"/>
              </w:rPr>
              <w:t>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85D39">
            <w:pPr>
              <w:jc w:val="center"/>
            </w:pPr>
            <w:r>
              <w:rPr>
                <w:rFonts w:ascii="宋体" w:hAnsi="宋体" w:eastAsia="宋体"/>
                <w:sz w:val="16"/>
              </w:rPr>
              <w:t>0</w:t>
            </w:r>
          </w:p>
        </w:tc>
      </w:tr>
    </w:tbl>
    <w:p w14:paraId="720846B7">
      <w:r>
        <w:br w:type="page"/>
      </w:r>
    </w:p>
    <w:p w14:paraId="1BC61DC5">
      <w:pPr>
        <w:spacing w:line="640" w:lineRule="exact"/>
        <w:ind w:firstLine="640"/>
        <w:jc w:val="both"/>
        <w:outlineLvl w:val="2"/>
      </w:pPr>
      <w:r>
        <w:rPr>
          <w:rFonts w:ascii="黑体" w:hAnsi="黑体" w:eastAsia="黑体"/>
          <w:sz w:val="32"/>
        </w:rPr>
        <w:t>十二、其他需说明的事项</w:t>
      </w:r>
    </w:p>
    <w:p w14:paraId="09DEB7BB">
      <w:pPr>
        <w:spacing w:line="580" w:lineRule="exact"/>
        <w:ind w:firstLine="640"/>
        <w:jc w:val="both"/>
      </w:pPr>
      <w:r>
        <w:rPr>
          <w:rFonts w:ascii="仿宋_GB2312" w:hAnsi="仿宋_GB2312" w:eastAsia="仿宋_GB2312"/>
          <w:b w:val="0"/>
          <w:sz w:val="32"/>
        </w:rPr>
        <w:t>本单位无其他需说明的事项。</w:t>
      </w:r>
    </w:p>
    <w:p w14:paraId="5C01B598">
      <w:r>
        <w:br w:type="page"/>
      </w:r>
    </w:p>
    <w:p w14:paraId="199B2A1F">
      <w:pPr>
        <w:spacing w:line="240" w:lineRule="auto"/>
        <w:jc w:val="center"/>
        <w:outlineLvl w:val="1"/>
      </w:pPr>
      <w:r>
        <w:rPr>
          <w:rFonts w:ascii="黑体" w:hAnsi="黑体" w:eastAsia="黑体"/>
          <w:sz w:val="32"/>
        </w:rPr>
        <w:t>第三部分 专业名词解释</w:t>
      </w:r>
    </w:p>
    <w:p w14:paraId="166C93D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4FEB07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F67DF9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3601FE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708697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D095F5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B47C76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033707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F352C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103446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44FA2C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F0D6D4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1B08E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E6AFA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089C0B">
      <w:r>
        <w:br w:type="page"/>
      </w:r>
    </w:p>
    <w:p w14:paraId="7E9ED02D">
      <w:pPr>
        <w:spacing w:line="240" w:lineRule="auto"/>
        <w:jc w:val="center"/>
        <w:outlineLvl w:val="1"/>
      </w:pPr>
      <w:r>
        <w:rPr>
          <w:rFonts w:ascii="黑体" w:hAnsi="黑体" w:eastAsia="黑体"/>
          <w:sz w:val="32"/>
        </w:rPr>
        <w:t>第四部分 部门决算报表（见附表）</w:t>
      </w:r>
    </w:p>
    <w:p w14:paraId="05A9F591">
      <w:pPr>
        <w:spacing w:line="240" w:lineRule="auto"/>
        <w:ind w:firstLine="640"/>
        <w:jc w:val="both"/>
      </w:pPr>
      <w:r>
        <w:rPr>
          <w:rFonts w:ascii="仿宋_GB2312" w:hAnsi="仿宋_GB2312" w:eastAsia="仿宋_GB2312"/>
          <w:b w:val="0"/>
          <w:sz w:val="32"/>
        </w:rPr>
        <w:t>一、《收入支出决算总表》</w:t>
      </w:r>
    </w:p>
    <w:p w14:paraId="1D1E779F">
      <w:pPr>
        <w:spacing w:line="240" w:lineRule="auto"/>
        <w:ind w:firstLine="640"/>
        <w:jc w:val="both"/>
      </w:pPr>
      <w:r>
        <w:rPr>
          <w:rFonts w:ascii="仿宋_GB2312" w:hAnsi="仿宋_GB2312" w:eastAsia="仿宋_GB2312"/>
          <w:b w:val="0"/>
          <w:sz w:val="32"/>
        </w:rPr>
        <w:t>二、《收入决算表》</w:t>
      </w:r>
    </w:p>
    <w:p w14:paraId="1EE23E23">
      <w:pPr>
        <w:spacing w:line="240" w:lineRule="auto"/>
        <w:ind w:firstLine="640"/>
        <w:jc w:val="both"/>
      </w:pPr>
      <w:r>
        <w:rPr>
          <w:rFonts w:ascii="仿宋_GB2312" w:hAnsi="仿宋_GB2312" w:eastAsia="仿宋_GB2312"/>
          <w:b w:val="0"/>
          <w:sz w:val="32"/>
        </w:rPr>
        <w:t>三、《支出决算表》</w:t>
      </w:r>
    </w:p>
    <w:p w14:paraId="03CEB52F">
      <w:pPr>
        <w:spacing w:line="240" w:lineRule="auto"/>
        <w:ind w:firstLine="640"/>
        <w:jc w:val="both"/>
      </w:pPr>
      <w:r>
        <w:rPr>
          <w:rFonts w:ascii="仿宋_GB2312" w:hAnsi="仿宋_GB2312" w:eastAsia="仿宋_GB2312"/>
          <w:b w:val="0"/>
          <w:sz w:val="32"/>
        </w:rPr>
        <w:t>四、《财政拨款收入支出决算总表》</w:t>
      </w:r>
    </w:p>
    <w:p w14:paraId="2579F3C0">
      <w:pPr>
        <w:spacing w:line="240" w:lineRule="auto"/>
        <w:ind w:firstLine="640"/>
        <w:jc w:val="both"/>
      </w:pPr>
      <w:r>
        <w:rPr>
          <w:rFonts w:ascii="仿宋_GB2312" w:hAnsi="仿宋_GB2312" w:eastAsia="仿宋_GB2312"/>
          <w:b w:val="0"/>
          <w:sz w:val="32"/>
        </w:rPr>
        <w:t>五、《一般公共预算财政拨款支出决算表》</w:t>
      </w:r>
    </w:p>
    <w:p w14:paraId="6FA24699">
      <w:pPr>
        <w:spacing w:line="240" w:lineRule="auto"/>
        <w:ind w:firstLine="640"/>
        <w:jc w:val="both"/>
      </w:pPr>
      <w:r>
        <w:rPr>
          <w:rFonts w:ascii="仿宋_GB2312" w:hAnsi="仿宋_GB2312" w:eastAsia="仿宋_GB2312"/>
          <w:b w:val="0"/>
          <w:sz w:val="32"/>
        </w:rPr>
        <w:t>六、《一般公共预算财政拨款基本支出决算表》</w:t>
      </w:r>
    </w:p>
    <w:p w14:paraId="18D9F873">
      <w:pPr>
        <w:spacing w:line="240" w:lineRule="auto"/>
        <w:ind w:firstLine="640"/>
        <w:jc w:val="both"/>
      </w:pPr>
      <w:r>
        <w:rPr>
          <w:rFonts w:ascii="仿宋_GB2312" w:hAnsi="仿宋_GB2312" w:eastAsia="仿宋_GB2312"/>
          <w:b w:val="0"/>
          <w:sz w:val="32"/>
        </w:rPr>
        <w:t>七、《政府性基金预算财政拨款收入支出决算表》</w:t>
      </w:r>
    </w:p>
    <w:p w14:paraId="2DE85DBF">
      <w:pPr>
        <w:spacing w:line="240" w:lineRule="auto"/>
        <w:ind w:firstLine="640"/>
        <w:jc w:val="both"/>
      </w:pPr>
      <w:r>
        <w:rPr>
          <w:rFonts w:ascii="仿宋_GB2312" w:hAnsi="仿宋_GB2312" w:eastAsia="仿宋_GB2312"/>
          <w:b w:val="0"/>
          <w:sz w:val="32"/>
        </w:rPr>
        <w:t>八、《国有资本经营预算财政拨款收入支出决算表》</w:t>
      </w:r>
    </w:p>
    <w:p w14:paraId="4EA75CEA">
      <w:pPr>
        <w:spacing w:line="240" w:lineRule="auto"/>
        <w:ind w:firstLine="640"/>
        <w:jc w:val="both"/>
      </w:pPr>
      <w:r>
        <w:rPr>
          <w:rFonts w:ascii="仿宋_GB2312" w:hAnsi="仿宋_GB2312" w:eastAsia="仿宋_GB2312"/>
          <w:b w:val="0"/>
          <w:sz w:val="32"/>
        </w:rPr>
        <w:t>九、《财政拨款“三公”经费支出决算表》</w:t>
      </w:r>
    </w:p>
    <w:p w14:paraId="219F2F21">
      <w:pPr>
        <w:spacing w:line="240" w:lineRule="auto"/>
        <w:ind w:firstLine="640"/>
        <w:jc w:val="both"/>
      </w:pPr>
    </w:p>
    <w:p w14:paraId="4093B589">
      <w:pPr>
        <w:spacing w:line="240" w:lineRule="auto"/>
        <w:ind w:firstLine="640"/>
        <w:jc w:val="both"/>
      </w:pPr>
    </w:p>
    <w:p w14:paraId="2D0444C5">
      <w:pPr>
        <w:spacing w:line="240" w:lineRule="auto"/>
        <w:ind w:firstLine="640"/>
        <w:jc w:val="both"/>
      </w:pPr>
    </w:p>
    <w:p w14:paraId="7D626992">
      <w:pPr>
        <w:spacing w:line="240" w:lineRule="auto"/>
        <w:ind w:firstLine="640"/>
        <w:jc w:val="both"/>
      </w:pPr>
    </w:p>
    <w:p w14:paraId="174F928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909207-8966-4300-89D9-43893A3FF3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F0145B5-D8C0-47A1-809A-E34CB4545532}"/>
  </w:font>
  <w:font w:name="仿宋_GB2312">
    <w:altName w:val="仿宋"/>
    <w:panose1 w:val="02010609030101010101"/>
    <w:charset w:val="86"/>
    <w:family w:val="modern"/>
    <w:pitch w:val="default"/>
    <w:sig w:usb0="00000000" w:usb1="00000000" w:usb2="00000000" w:usb3="00000000" w:csb0="00040000" w:csb1="00000000"/>
    <w:embedRegular r:id="rId3" w:fontKey="{43DD2875-B727-49C6-A8E5-4E7EDE4EF018}"/>
  </w:font>
  <w:font w:name="楷体_GB2312">
    <w:altName w:val="楷体"/>
    <w:panose1 w:val="00000000000000000000"/>
    <w:charset w:val="00"/>
    <w:family w:val="auto"/>
    <w:pitch w:val="default"/>
    <w:sig w:usb0="00000000" w:usb1="00000000" w:usb2="00000000" w:usb3="00000000" w:csb0="00000000" w:csb1="00000000"/>
    <w:embedRegular r:id="rId4" w:fontKey="{76B0D710-0B80-4596-BECE-0A71B69E03A6}"/>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5A325A"/>
    <w:rsid w:val="5FA17648"/>
    <w:rsid w:val="5FD320BD"/>
    <w:rsid w:val="60DE4D57"/>
    <w:rsid w:val="613409CB"/>
    <w:rsid w:val="61A46A97"/>
    <w:rsid w:val="62DD7D21"/>
    <w:rsid w:val="63940BC0"/>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4314</Words>
  <Characters>4943</Characters>
  <Lines>0</Lines>
  <Paragraphs>0</Paragraphs>
  <TotalTime>1</TotalTime>
  <ScaleCrop>false</ScaleCrop>
  <LinksUpToDate>false</LinksUpToDate>
  <CharactersWithSpaces>4951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2025-10-31T11:13:23Z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