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托里县歌舞团2024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335214F8">
      <w:r>
        <w:br w:type="page"/>
      </w:r>
    </w:p>
    <w:p w14:paraId="0E7104C3">
      <w:pPr>
        <w:spacing w:line="640" w:lineRule="exact"/>
        <w:jc w:val="center"/>
        <w:outlineLvl w:val="1"/>
      </w:pPr>
      <w:r>
        <w:rPr>
          <w:rFonts w:ascii="黑体" w:hAnsi="黑体" w:eastAsia="黑体"/>
          <w:sz w:val="32"/>
        </w:rPr>
        <w:t>第一部分 单位概况</w:t>
      </w:r>
    </w:p>
    <w:p w14:paraId="13E60FC1">
      <w:pPr>
        <w:spacing w:line="640" w:lineRule="exact"/>
        <w:ind w:firstLine="640"/>
        <w:jc w:val="both"/>
        <w:outlineLvl w:val="2"/>
      </w:pPr>
      <w:r>
        <w:rPr>
          <w:rFonts w:ascii="黑体" w:hAnsi="黑体" w:eastAsia="黑体"/>
          <w:sz w:val="32"/>
        </w:rPr>
        <w:t>一、主要职能</w:t>
      </w:r>
    </w:p>
    <w:p w14:paraId="0C0F5CF6">
      <w:pPr>
        <w:spacing w:line="580" w:lineRule="exact"/>
        <w:ind w:firstLine="640"/>
        <w:jc w:val="both"/>
      </w:pPr>
      <w:r>
        <w:rPr>
          <w:rFonts w:ascii="仿宋_GB2312" w:hAnsi="仿宋_GB2312" w:eastAsia="仿宋_GB2312"/>
          <w:sz w:val="32"/>
        </w:rPr>
        <w:t>（1）托里县歌舞团主要以创造演出优秀剧目，为观众服务。舞台艺术作品创作、传统民族艺术整理加工与保护、艺术普及推广、培养艺术创作表演人才。</w:t>
      </w:r>
    </w:p>
    <w:p w14:paraId="223F41DC">
      <w:pPr>
        <w:spacing w:line="580" w:lineRule="exact"/>
        <w:ind w:firstLine="640"/>
        <w:jc w:val="both"/>
      </w:pPr>
      <w:r>
        <w:rPr>
          <w:rFonts w:ascii="仿宋_GB2312" w:hAnsi="仿宋_GB2312" w:eastAsia="仿宋_GB2312"/>
          <w:sz w:val="32"/>
        </w:rPr>
        <w:t>（2）全面贯彻落实中央、自治区、自治州、地委和县委、县政府在文化体育广播影视方面的总体路线、方针、政策，完成文广局交予的各项任务，做好全县的大型文艺演出。</w:t>
      </w:r>
    </w:p>
    <w:p w14:paraId="71882B0E">
      <w:pPr>
        <w:spacing w:line="580" w:lineRule="exact"/>
        <w:ind w:firstLine="640"/>
        <w:jc w:val="both"/>
      </w:pPr>
      <w:r>
        <w:rPr>
          <w:rFonts w:ascii="仿宋_GB2312" w:hAnsi="仿宋_GB2312" w:eastAsia="仿宋_GB2312"/>
          <w:sz w:val="32"/>
        </w:rPr>
        <w:t>（3）贯彻落实国家、自治区文化体育广播影视事业管理的法律法规。</w:t>
      </w:r>
    </w:p>
    <w:p w14:paraId="6012FC1F">
      <w:pPr>
        <w:spacing w:line="580" w:lineRule="exact"/>
        <w:ind w:firstLine="640"/>
        <w:jc w:val="both"/>
      </w:pPr>
      <w:r>
        <w:rPr>
          <w:rFonts w:ascii="仿宋_GB2312" w:hAnsi="仿宋_GB2312" w:eastAsia="仿宋_GB2312"/>
          <w:sz w:val="32"/>
        </w:rPr>
        <w:t>（4）积极参与县各项文艺演出，提高人民群众的文化文艺水平。</w:t>
      </w:r>
    </w:p>
    <w:p w14:paraId="132006EB">
      <w:pPr>
        <w:spacing w:line="640" w:lineRule="exact"/>
        <w:ind w:firstLine="640"/>
        <w:jc w:val="both"/>
        <w:outlineLvl w:val="2"/>
      </w:pPr>
      <w:r>
        <w:rPr>
          <w:rFonts w:ascii="黑体" w:hAnsi="黑体" w:eastAsia="黑体"/>
          <w:sz w:val="32"/>
        </w:rPr>
        <w:t>二、机构设置及人员情况</w:t>
      </w:r>
    </w:p>
    <w:p w14:paraId="37AE556D">
      <w:pPr>
        <w:spacing w:line="580" w:lineRule="exact"/>
        <w:ind w:firstLine="640"/>
        <w:jc w:val="both"/>
      </w:pPr>
      <w:r>
        <w:rPr>
          <w:rFonts w:ascii="仿宋_GB2312" w:hAnsi="仿宋_GB2312" w:eastAsia="仿宋_GB2312"/>
          <w:sz w:val="32"/>
        </w:rPr>
        <w:t>托里县歌舞团2024年度，实有人数3人，其中：在职人员3人，增加0人；离休人员0人，增加0人；退休人员0人,增加0人。</w:t>
      </w:r>
    </w:p>
    <w:p w14:paraId="17783B0F">
      <w:pPr>
        <w:spacing w:line="580" w:lineRule="exact"/>
        <w:ind w:firstLine="640"/>
        <w:jc w:val="both"/>
      </w:pPr>
      <w:r>
        <w:rPr>
          <w:rFonts w:ascii="仿宋_GB2312" w:hAnsi="仿宋_GB2312" w:eastAsia="仿宋_GB2312"/>
          <w:sz w:val="32"/>
        </w:rPr>
        <w:t>托里县歌舞团无下属预算单位，下设2个科室，分别是：办公室、财务室。</w:t>
      </w:r>
    </w:p>
    <w:p w14:paraId="4F4B5418">
      <w:r>
        <w:br w:type="page"/>
      </w:r>
    </w:p>
    <w:p w14:paraId="5DC32165">
      <w:pPr>
        <w:spacing w:line="240" w:lineRule="auto"/>
        <w:jc w:val="center"/>
        <w:outlineLvl w:val="1"/>
      </w:pPr>
      <w:r>
        <w:rPr>
          <w:rFonts w:ascii="黑体" w:hAnsi="黑体" w:eastAsia="黑体"/>
          <w:sz w:val="32"/>
        </w:rPr>
        <w:t>第二部分 部门决算情况说明</w:t>
      </w:r>
    </w:p>
    <w:p w14:paraId="69BBE3A4">
      <w:pPr>
        <w:spacing w:line="640" w:lineRule="exact"/>
        <w:ind w:firstLine="640"/>
        <w:jc w:val="both"/>
        <w:outlineLvl w:val="2"/>
      </w:pPr>
      <w:r>
        <w:rPr>
          <w:rFonts w:ascii="黑体" w:hAnsi="黑体" w:eastAsia="黑体"/>
          <w:sz w:val="32"/>
        </w:rPr>
        <w:t>一、收入支出决算总体情况说明</w:t>
      </w:r>
    </w:p>
    <w:p w14:paraId="780B7128">
      <w:pPr>
        <w:spacing w:line="580" w:lineRule="exact"/>
        <w:ind w:firstLine="640"/>
        <w:jc w:val="both"/>
      </w:pPr>
      <w:r>
        <w:rPr>
          <w:rFonts w:ascii="仿宋_GB2312" w:hAnsi="仿宋_GB2312" w:eastAsia="仿宋_GB2312"/>
          <w:b/>
          <w:sz w:val="32"/>
        </w:rPr>
        <w:t>2024年度收入总计141.45万元，</w:t>
      </w:r>
      <w:r>
        <w:rPr>
          <w:rFonts w:ascii="仿宋_GB2312" w:hAnsi="仿宋_GB2312" w:eastAsia="仿宋_GB2312"/>
          <w:b w:val="0"/>
          <w:sz w:val="32"/>
        </w:rPr>
        <w:t>其中：本年收入合计141.45万元，使用非财政拨款结余（含专用结余）0.00万元，年初结转和结余0.00万元。</w:t>
      </w:r>
    </w:p>
    <w:p w14:paraId="044890A3">
      <w:pPr>
        <w:spacing w:line="580" w:lineRule="exact"/>
        <w:ind w:firstLine="640"/>
        <w:jc w:val="both"/>
      </w:pPr>
      <w:r>
        <w:rPr>
          <w:rFonts w:ascii="仿宋_GB2312" w:hAnsi="仿宋_GB2312" w:eastAsia="仿宋_GB2312"/>
          <w:b/>
          <w:sz w:val="32"/>
        </w:rPr>
        <w:t>2024年度支出总计141.45万元，</w:t>
      </w:r>
      <w:r>
        <w:rPr>
          <w:rFonts w:ascii="仿宋_GB2312" w:hAnsi="仿宋_GB2312" w:eastAsia="仿宋_GB2312"/>
          <w:b w:val="0"/>
          <w:sz w:val="32"/>
        </w:rPr>
        <w:t>其中：本年支出合计141.45万元，结余分配0.00万元，年末结转和结余0.00万元。</w:t>
      </w:r>
    </w:p>
    <w:p w14:paraId="18B3E9FB">
      <w:pPr>
        <w:spacing w:line="580" w:lineRule="exact"/>
        <w:ind w:firstLine="640"/>
        <w:jc w:val="both"/>
      </w:pPr>
      <w:r>
        <w:rPr>
          <w:rFonts w:ascii="仿宋_GB2312" w:hAnsi="仿宋_GB2312" w:eastAsia="仿宋_GB2312"/>
          <w:b w:val="0"/>
          <w:sz w:val="32"/>
        </w:rPr>
        <w:t>收入支出总体与上年相比，减少8.37万元，下降5.59%，主要原因是：本年度聘用人员减少，相关人员经费减少。</w:t>
      </w:r>
    </w:p>
    <w:p w14:paraId="70141019">
      <w:pPr>
        <w:spacing w:line="640" w:lineRule="exact"/>
        <w:ind w:firstLine="640"/>
        <w:jc w:val="both"/>
        <w:outlineLvl w:val="2"/>
      </w:pPr>
      <w:r>
        <w:rPr>
          <w:rFonts w:ascii="黑体" w:hAnsi="黑体" w:eastAsia="黑体"/>
          <w:sz w:val="32"/>
        </w:rPr>
        <w:t>二、收入决算情况说明</w:t>
      </w:r>
    </w:p>
    <w:p w14:paraId="62BCBF09">
      <w:pPr>
        <w:spacing w:line="580" w:lineRule="exact"/>
        <w:ind w:firstLine="640"/>
        <w:jc w:val="both"/>
      </w:pPr>
      <w:r>
        <w:rPr>
          <w:rFonts w:ascii="仿宋_GB2312" w:hAnsi="仿宋_GB2312" w:eastAsia="仿宋_GB2312"/>
          <w:b/>
          <w:sz w:val="32"/>
        </w:rPr>
        <w:t>本年收入141.45万元，</w:t>
      </w:r>
      <w:r>
        <w:rPr>
          <w:rFonts w:ascii="仿宋_GB2312" w:hAnsi="仿宋_GB2312" w:eastAsia="仿宋_GB2312"/>
          <w:b w:val="0"/>
          <w:sz w:val="32"/>
        </w:rPr>
        <w:t>其中：财政拨款收入139.55万元，占98.66%；上级补助收入0.00万元，占0.00%；事业收入0.00万元，占0.00%；经营收入0.00万元，占0.00%；附属单位上缴收入0.00万元，占0.00%；其他收入1.90万元，占1.34%。</w:t>
      </w:r>
    </w:p>
    <w:p w14:paraId="4AE7F310">
      <w:pPr>
        <w:spacing w:line="640" w:lineRule="exact"/>
        <w:ind w:firstLine="640"/>
        <w:jc w:val="both"/>
        <w:outlineLvl w:val="2"/>
      </w:pPr>
      <w:r>
        <w:rPr>
          <w:rFonts w:ascii="黑体" w:hAnsi="黑体" w:eastAsia="黑体"/>
          <w:sz w:val="32"/>
        </w:rPr>
        <w:t>三、支出决算情况说明</w:t>
      </w:r>
    </w:p>
    <w:p w14:paraId="01F7C85B">
      <w:pPr>
        <w:spacing w:line="580" w:lineRule="exact"/>
        <w:ind w:firstLine="640"/>
        <w:jc w:val="both"/>
      </w:pPr>
      <w:r>
        <w:rPr>
          <w:rFonts w:ascii="仿宋_GB2312" w:hAnsi="仿宋_GB2312" w:eastAsia="仿宋_GB2312"/>
          <w:b/>
          <w:sz w:val="32"/>
        </w:rPr>
        <w:t>本年支出141.45万元，</w:t>
      </w:r>
      <w:r>
        <w:rPr>
          <w:rFonts w:ascii="仿宋_GB2312" w:hAnsi="仿宋_GB2312" w:eastAsia="仿宋_GB2312"/>
          <w:b w:val="0"/>
          <w:sz w:val="32"/>
        </w:rPr>
        <w:t>其中：基本支出124.55万元，占88.05%；项目支出16.90万元，占11.95%；上缴上级支出0.00万元，占0.00%；经营支出0.00万元，占0.00%；对附属单位补助支出0.00万元，占0.00%。</w:t>
      </w:r>
    </w:p>
    <w:p w14:paraId="40A1A4BA">
      <w:pPr>
        <w:spacing w:line="640" w:lineRule="exact"/>
        <w:ind w:firstLine="640"/>
        <w:jc w:val="both"/>
        <w:outlineLvl w:val="2"/>
      </w:pPr>
      <w:r>
        <w:rPr>
          <w:rFonts w:ascii="黑体" w:hAnsi="黑体" w:eastAsia="黑体"/>
          <w:sz w:val="32"/>
        </w:rPr>
        <w:t>四、财政拨款收入支出决算总体情况说明</w:t>
      </w:r>
    </w:p>
    <w:p w14:paraId="2188A02B">
      <w:pPr>
        <w:spacing w:line="580" w:lineRule="exact"/>
        <w:ind w:firstLine="640"/>
        <w:jc w:val="both"/>
      </w:pPr>
      <w:r>
        <w:rPr>
          <w:rFonts w:ascii="仿宋_GB2312" w:hAnsi="仿宋_GB2312" w:eastAsia="仿宋_GB2312"/>
          <w:b/>
          <w:sz w:val="32"/>
        </w:rPr>
        <w:t>2024年度财政拨款收入总计139.55万元，</w:t>
      </w:r>
      <w:r>
        <w:rPr>
          <w:rFonts w:ascii="仿宋_GB2312" w:hAnsi="仿宋_GB2312" w:eastAsia="仿宋_GB2312"/>
          <w:b w:val="0"/>
          <w:sz w:val="32"/>
        </w:rPr>
        <w:t>其中：年初财政拨款结转和结余0.00万元，本年财政拨款收入139.55万元。</w:t>
      </w:r>
      <w:r>
        <w:rPr>
          <w:rFonts w:ascii="仿宋_GB2312" w:hAnsi="仿宋_GB2312" w:eastAsia="仿宋_GB2312"/>
          <w:b/>
          <w:sz w:val="32"/>
        </w:rPr>
        <w:t>财政拨款支出总计139.55万元，</w:t>
      </w:r>
      <w:r>
        <w:rPr>
          <w:rFonts w:ascii="仿宋_GB2312" w:hAnsi="仿宋_GB2312" w:eastAsia="仿宋_GB2312"/>
          <w:b w:val="0"/>
          <w:sz w:val="32"/>
        </w:rPr>
        <w:t>其中：年末财政拨款结转和结余0.00万元，本年财政拨款支出139.55万元。</w:t>
      </w:r>
    </w:p>
    <w:p w14:paraId="40CF0119">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减少7.84万元，下降5.32%，主要原因是：本年度聘用人员减少，相关人员经费减少。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年初预算数142.70万元，决算数139.55万元，预决算差异率-2.21%，主要原因是：严格落实中央八项规定精神，厉行节约，减少不必要的开支。</w:t>
      </w:r>
    </w:p>
    <w:p w14:paraId="2618EA42">
      <w:pPr>
        <w:spacing w:line="640" w:lineRule="exact"/>
        <w:ind w:firstLine="640"/>
        <w:jc w:val="both"/>
        <w:outlineLvl w:val="2"/>
      </w:pPr>
      <w:r>
        <w:rPr>
          <w:rFonts w:ascii="黑体" w:hAnsi="黑体" w:eastAsia="黑体"/>
          <w:sz w:val="32"/>
        </w:rPr>
        <w:t>五、一般公共预算财政拨款支出决算情况说明</w:t>
      </w:r>
    </w:p>
    <w:p w14:paraId="24C69CA3">
      <w:pPr>
        <w:spacing w:line="640" w:lineRule="exact"/>
        <w:ind w:firstLine="640"/>
        <w:jc w:val="both"/>
        <w:outlineLvl w:val="3"/>
      </w:pPr>
      <w:r>
        <w:rPr>
          <w:rFonts w:ascii="楷体_GB2312" w:hAnsi="楷体_GB2312" w:eastAsia="楷体_GB2312"/>
          <w:b/>
          <w:sz w:val="32"/>
        </w:rPr>
        <w:t>（一）一般公共预算财政拨款支出决算总体情况</w:t>
      </w:r>
    </w:p>
    <w:p w14:paraId="436D2850">
      <w:pPr>
        <w:spacing w:line="580" w:lineRule="exact"/>
        <w:ind w:firstLine="640"/>
        <w:jc w:val="both"/>
      </w:pPr>
      <w:r>
        <w:rPr>
          <w:rFonts w:ascii="仿宋_GB2312" w:hAnsi="仿宋_GB2312" w:eastAsia="仿宋_GB2312"/>
          <w:b/>
          <w:sz w:val="32"/>
        </w:rPr>
        <w:t>2024年度一般公共预算财政拨款支出139.55万元，</w:t>
      </w:r>
      <w:r>
        <w:rPr>
          <w:rFonts w:ascii="仿宋_GB2312" w:hAnsi="仿宋_GB2312" w:eastAsia="仿宋_GB2312"/>
          <w:b w:val="0"/>
          <w:sz w:val="32"/>
        </w:rPr>
        <w:t>占本年支出合计的98.66%。</w:t>
      </w:r>
      <w:r>
        <w:rPr>
          <w:rFonts w:ascii="仿宋_GB2312" w:hAnsi="仿宋_GB2312" w:eastAsia="仿宋_GB2312"/>
          <w:b/>
          <w:sz w:val="32"/>
        </w:rPr>
        <w:t>与上年相比，</w:t>
      </w:r>
      <w:r>
        <w:rPr>
          <w:rFonts w:ascii="仿宋_GB2312" w:hAnsi="仿宋_GB2312" w:eastAsia="仿宋_GB2312"/>
          <w:b w:val="0"/>
          <w:sz w:val="32"/>
        </w:rPr>
        <w:t>减少7.84万元，下降5.32%，主要原因是：本年度聘用人员减少，相关人员经费减少。</w:t>
      </w:r>
      <w:r>
        <w:rPr>
          <w:rFonts w:ascii="仿宋_GB2312" w:hAnsi="仿宋_GB2312" w:eastAsia="仿宋_GB2312"/>
          <w:b/>
          <w:sz w:val="32"/>
        </w:rPr>
        <w:t>与年初预算相比,</w:t>
      </w:r>
      <w:r>
        <w:rPr>
          <w:rFonts w:ascii="仿宋_GB2312" w:hAnsi="仿宋_GB2312" w:eastAsia="仿宋_GB2312"/>
          <w:b w:val="0"/>
          <w:sz w:val="32"/>
        </w:rPr>
        <w:t>年初预算数142.70万元，决算数139.55万元，预决算差异率-2.21%，主要原因是：严格落实中央八项规定精神，厉行节约，减少不必要的开支。</w:t>
      </w:r>
    </w:p>
    <w:p w14:paraId="1B6B2185">
      <w:pPr>
        <w:spacing w:line="640" w:lineRule="exact"/>
        <w:ind w:firstLine="640"/>
        <w:jc w:val="both"/>
        <w:outlineLvl w:val="3"/>
      </w:pPr>
      <w:r>
        <w:rPr>
          <w:rFonts w:ascii="楷体_GB2312" w:hAnsi="楷体_GB2312" w:eastAsia="楷体_GB2312"/>
          <w:b/>
          <w:sz w:val="32"/>
        </w:rPr>
        <w:t>（二）一般公共预算财政拨款支出决算结构情况</w:t>
      </w:r>
    </w:p>
    <w:p w14:paraId="3FC786FC">
      <w:pPr>
        <w:spacing w:line="580" w:lineRule="exact"/>
        <w:ind w:firstLine="640"/>
        <w:jc w:val="both"/>
      </w:pPr>
      <w:r>
        <w:rPr>
          <w:rFonts w:ascii="仿宋_GB2312" w:hAnsi="仿宋_GB2312" w:eastAsia="仿宋_GB2312"/>
          <w:b w:val="0"/>
          <w:sz w:val="32"/>
        </w:rPr>
        <w:t>1.文化旅游体育与传媒支出(类)128.07万元,占91.77%。</w:t>
      </w:r>
    </w:p>
    <w:p w14:paraId="24602243">
      <w:pPr>
        <w:spacing w:line="580" w:lineRule="exact"/>
        <w:ind w:firstLine="640"/>
        <w:jc w:val="both"/>
      </w:pPr>
      <w:r>
        <w:rPr>
          <w:rFonts w:ascii="仿宋_GB2312" w:hAnsi="仿宋_GB2312" w:eastAsia="仿宋_GB2312"/>
          <w:b w:val="0"/>
          <w:sz w:val="32"/>
        </w:rPr>
        <w:t>2.社会保障和就业支出(类)5.14万元,占3.68%。</w:t>
      </w:r>
    </w:p>
    <w:p w14:paraId="532D6D3B">
      <w:pPr>
        <w:spacing w:line="580" w:lineRule="exact"/>
        <w:ind w:firstLine="640"/>
        <w:jc w:val="both"/>
      </w:pPr>
      <w:r>
        <w:rPr>
          <w:rFonts w:ascii="仿宋_GB2312" w:hAnsi="仿宋_GB2312" w:eastAsia="仿宋_GB2312"/>
          <w:b w:val="0"/>
          <w:sz w:val="32"/>
        </w:rPr>
        <w:t>3.卫生健康支出(类)2.15万元,占1.54%。</w:t>
      </w:r>
    </w:p>
    <w:p w14:paraId="75061F22">
      <w:pPr>
        <w:spacing w:line="580" w:lineRule="exact"/>
        <w:ind w:firstLine="640"/>
        <w:jc w:val="both"/>
      </w:pPr>
      <w:r>
        <w:rPr>
          <w:rFonts w:ascii="仿宋_GB2312" w:hAnsi="仿宋_GB2312" w:eastAsia="仿宋_GB2312"/>
          <w:b w:val="0"/>
          <w:sz w:val="32"/>
        </w:rPr>
        <w:t>4.住房保障支出(类)4.19万元,占3.00%。</w:t>
      </w:r>
    </w:p>
    <w:p w14:paraId="7FC36C0F">
      <w:pPr>
        <w:spacing w:line="640" w:lineRule="exact"/>
        <w:ind w:firstLine="640"/>
        <w:jc w:val="both"/>
        <w:outlineLvl w:val="3"/>
      </w:pPr>
      <w:r>
        <w:rPr>
          <w:rFonts w:ascii="楷体_GB2312" w:hAnsi="楷体_GB2312" w:eastAsia="楷体_GB2312"/>
          <w:b/>
          <w:sz w:val="32"/>
        </w:rPr>
        <w:t>（三）一般公共预算财政拨款支出决算具体情况</w:t>
      </w:r>
    </w:p>
    <w:p w14:paraId="1CF9875F">
      <w:pPr>
        <w:spacing w:line="580" w:lineRule="exact"/>
        <w:ind w:firstLine="640"/>
        <w:jc w:val="both"/>
      </w:pPr>
      <w:r>
        <w:rPr>
          <w:rFonts w:ascii="仿宋_GB2312" w:hAnsi="仿宋_GB2312" w:eastAsia="仿宋_GB2312"/>
          <w:b w:val="0"/>
          <w:sz w:val="32"/>
        </w:rPr>
        <w:t>1.文化旅游体育与传媒支出(类)文化和旅游(款)艺术表演团体(项):支出决算数为113.07万元，比上年决算减少14.10万元，下降11.09%,主要原因是：本年度聘用人员减少，相关人员经费减少。</w:t>
      </w:r>
    </w:p>
    <w:p w14:paraId="4BA05D22">
      <w:pPr>
        <w:spacing w:line="580" w:lineRule="exact"/>
        <w:ind w:firstLine="640"/>
        <w:jc w:val="both"/>
      </w:pPr>
      <w:r>
        <w:rPr>
          <w:rFonts w:ascii="仿宋_GB2312" w:hAnsi="仿宋_GB2312" w:eastAsia="仿宋_GB2312"/>
          <w:b w:val="0"/>
          <w:sz w:val="32"/>
        </w:rPr>
        <w:t>2.文化旅游体育与传媒支出(类)文化和旅游(款)其他文化和旅游支出(项):支出决算数为15.00万元，比上年决算增加5.00万元，增长50.00%,主要原因是：本年增加托里县诺肉孜节、阿依阿肯弹唱等节日文化活动项目，相关支出增加。</w:t>
      </w:r>
    </w:p>
    <w:p w14:paraId="44C0EE9E">
      <w:pPr>
        <w:spacing w:line="580" w:lineRule="exact"/>
        <w:ind w:firstLine="640"/>
        <w:jc w:val="both"/>
      </w:pPr>
      <w:r>
        <w:rPr>
          <w:rFonts w:ascii="仿宋_GB2312" w:hAnsi="仿宋_GB2312" w:eastAsia="仿宋_GB2312"/>
          <w:b w:val="0"/>
          <w:sz w:val="32"/>
        </w:rPr>
        <w:t>3.社会保障和就业支出(类)行政事业单位养老支出(款)机关事业单位基本养老保险缴费支出(项):支出决算数为5.14万元，比上年决算增加0.66万元，增长14.73%,主要原因是：本年在职人员工资基数调增，养老缴费基数上涨，相应支出增加。</w:t>
      </w:r>
    </w:p>
    <w:p w14:paraId="18FE9488">
      <w:pPr>
        <w:spacing w:line="580" w:lineRule="exact"/>
        <w:ind w:firstLine="640"/>
        <w:jc w:val="both"/>
      </w:pPr>
      <w:r>
        <w:rPr>
          <w:rFonts w:ascii="仿宋_GB2312" w:hAnsi="仿宋_GB2312" w:eastAsia="仿宋_GB2312"/>
          <w:b w:val="0"/>
          <w:sz w:val="32"/>
        </w:rPr>
        <w:t>4.卫生健康支出(类)行政事业单位医疗(款)事业单位医疗(项):支出决算数为2.15万元，比上年决算增加0.13万元，增长6.44%,主要原因是：本年在职人员工资基数调增，医疗缴费基数上涨，相应支出增加。</w:t>
      </w:r>
    </w:p>
    <w:p w14:paraId="5F489D7F">
      <w:pPr>
        <w:spacing w:line="580" w:lineRule="exact"/>
        <w:ind w:firstLine="640"/>
        <w:jc w:val="both"/>
      </w:pPr>
      <w:r>
        <w:rPr>
          <w:rFonts w:ascii="仿宋_GB2312" w:hAnsi="仿宋_GB2312" w:eastAsia="仿宋_GB2312"/>
          <w:b w:val="0"/>
          <w:sz w:val="32"/>
        </w:rPr>
        <w:t>5.住房保障支出(类)住房改革支出(款)住房公积金(项):支出决算数为4.19万元，比上年决算增加0.47万元，增长12.63%,主要原因是：本年在职人员工资基数调增，公积金缴费基数上涨，相应支出增加。</w:t>
      </w:r>
    </w:p>
    <w:p w14:paraId="2A9E9368">
      <w:pPr>
        <w:spacing w:line="640" w:lineRule="exact"/>
        <w:ind w:firstLine="640"/>
        <w:jc w:val="both"/>
        <w:outlineLvl w:val="2"/>
      </w:pPr>
      <w:r>
        <w:rPr>
          <w:rFonts w:ascii="黑体" w:hAnsi="黑体" w:eastAsia="黑体"/>
          <w:sz w:val="32"/>
        </w:rPr>
        <w:t>六、一般公共预算财政拨款基本支出决算情况说明</w:t>
      </w:r>
    </w:p>
    <w:p w14:paraId="535E149E">
      <w:pPr>
        <w:spacing w:line="580" w:lineRule="exact"/>
        <w:ind w:firstLine="640"/>
        <w:jc w:val="both"/>
      </w:pPr>
      <w:r>
        <w:rPr>
          <w:rFonts w:ascii="仿宋_GB2312" w:hAnsi="仿宋_GB2312" w:eastAsia="仿宋_GB2312"/>
          <w:b w:val="0"/>
          <w:sz w:val="32"/>
        </w:rPr>
        <w:t>2024年度一般公共预算财政拨款基本支出124.55万元，其中：</w:t>
      </w:r>
      <w:r>
        <w:rPr>
          <w:rFonts w:ascii="仿宋_GB2312" w:hAnsi="仿宋_GB2312" w:eastAsia="仿宋_GB2312"/>
          <w:b/>
          <w:sz w:val="32"/>
        </w:rPr>
        <w:t>人员经费121.53万元，</w:t>
      </w:r>
      <w:r>
        <w:rPr>
          <w:rFonts w:ascii="仿宋_GB2312" w:hAnsi="仿宋_GB2312" w:eastAsia="仿宋_GB2312"/>
          <w:b w:val="0"/>
          <w:sz w:val="32"/>
        </w:rPr>
        <w:t>包括：基本工资、津贴补贴、奖金、绩效工资、机关事业单位基本养老保险缴费、职工基本医疗保险缴费、其他社会保障缴费、住房公积金、其他工资福利支出、奖励金。</w:t>
      </w:r>
    </w:p>
    <w:p w14:paraId="233D7E23">
      <w:pPr>
        <w:spacing w:line="580" w:lineRule="exact"/>
        <w:ind w:firstLine="640"/>
        <w:jc w:val="both"/>
      </w:pPr>
      <w:r>
        <w:rPr>
          <w:rFonts w:ascii="仿宋_GB2312" w:hAnsi="仿宋_GB2312" w:eastAsia="仿宋_GB2312"/>
          <w:b/>
          <w:sz w:val="32"/>
        </w:rPr>
        <w:t>公用经费3.02万元，</w:t>
      </w:r>
      <w:r>
        <w:rPr>
          <w:rFonts w:ascii="仿宋_GB2312" w:hAnsi="仿宋_GB2312" w:eastAsia="仿宋_GB2312"/>
          <w:b w:val="0"/>
          <w:sz w:val="32"/>
        </w:rPr>
        <w:t>包括：办公费、印刷费、租赁费、劳务费、工会经费、公务用车运行维护费。</w:t>
      </w:r>
    </w:p>
    <w:p w14:paraId="4904547B">
      <w:pPr>
        <w:spacing w:line="640" w:lineRule="exact"/>
        <w:ind w:firstLine="640"/>
        <w:jc w:val="both"/>
        <w:outlineLvl w:val="2"/>
      </w:pPr>
      <w:r>
        <w:rPr>
          <w:rFonts w:ascii="黑体" w:hAnsi="黑体" w:eastAsia="黑体"/>
          <w:sz w:val="32"/>
        </w:rPr>
        <w:t>七、政府性基金预算财政拨款收入支出决算情况说明</w:t>
      </w:r>
    </w:p>
    <w:p w14:paraId="50247A7F">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6C64DAFC">
      <w:pPr>
        <w:spacing w:line="640" w:lineRule="exact"/>
        <w:ind w:firstLine="640"/>
        <w:jc w:val="both"/>
        <w:outlineLvl w:val="2"/>
      </w:pPr>
      <w:r>
        <w:rPr>
          <w:rFonts w:ascii="黑体" w:hAnsi="黑体" w:eastAsia="黑体"/>
          <w:sz w:val="32"/>
        </w:rPr>
        <w:t>八、国有资本经营预算财政拨款收入支出决算情况说明</w:t>
      </w:r>
    </w:p>
    <w:p w14:paraId="1CB4292C">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2A2817CA">
      <w:pPr>
        <w:spacing w:line="640" w:lineRule="exact"/>
        <w:ind w:firstLine="640"/>
        <w:jc w:val="both"/>
        <w:outlineLvl w:val="2"/>
      </w:pPr>
      <w:r>
        <w:rPr>
          <w:rFonts w:ascii="黑体" w:hAnsi="黑体" w:eastAsia="黑体"/>
          <w:sz w:val="32"/>
        </w:rPr>
        <w:t>九、财政拨款“三公”经费支出决算情况说明</w:t>
      </w:r>
    </w:p>
    <w:p w14:paraId="4E6FB0ED">
      <w:pPr>
        <w:spacing w:line="580" w:lineRule="exact"/>
        <w:ind w:firstLine="640"/>
        <w:jc w:val="both"/>
      </w:pPr>
      <w:r>
        <w:rPr>
          <w:rFonts w:ascii="仿宋_GB2312" w:hAnsi="仿宋_GB2312" w:eastAsia="仿宋_GB2312"/>
          <w:b/>
          <w:sz w:val="32"/>
        </w:rPr>
        <w:t>2024年度财政拨款“三公”经费支出0.74万元，</w:t>
      </w:r>
      <w:r>
        <w:rPr>
          <w:rFonts w:ascii="仿宋_GB2312" w:hAnsi="仿宋_GB2312" w:eastAsia="仿宋_GB2312"/>
          <w:b w:val="0"/>
          <w:sz w:val="32"/>
        </w:rPr>
        <w:t>比上年增加0.40万元，增长117.65%，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0.74万元，占100.00%，比上年增加0.40万元，增长117.65%，主要原因是：本单位公务用车日渐老化，维修维护成本增加，导致公务用车运行维护费较上年增加。公务接待费支出0.00万元，占0.00%，比上年增加0.00万元，增长0.00%，主要原因是：2023年与2024年均未安排公务接待费支出。</w:t>
      </w:r>
    </w:p>
    <w:p w14:paraId="24F45E08">
      <w:pPr>
        <w:spacing w:line="580" w:lineRule="exact"/>
        <w:ind w:firstLine="640"/>
        <w:jc w:val="both"/>
      </w:pPr>
      <w:r>
        <w:rPr>
          <w:rFonts w:ascii="仿宋_GB2312" w:hAnsi="仿宋_GB2312" w:eastAsia="仿宋_GB2312"/>
          <w:b/>
          <w:sz w:val="32"/>
        </w:rPr>
        <w:t>具体情况如下：</w:t>
      </w:r>
    </w:p>
    <w:p w14:paraId="1E117CF4">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30EB1C14">
      <w:pPr>
        <w:spacing w:line="580" w:lineRule="exact"/>
        <w:ind w:firstLine="640"/>
        <w:jc w:val="both"/>
      </w:pPr>
      <w:r>
        <w:rPr>
          <w:rFonts w:ascii="仿宋_GB2312" w:hAnsi="仿宋_GB2312" w:eastAsia="仿宋_GB2312"/>
          <w:b w:val="0"/>
          <w:sz w:val="32"/>
        </w:rPr>
        <w:t>公务用车购置及运行维护费0.74万元，其中：公务用车购置费0.00万元，公务用车运行维护费0.74万元。公务用车运行维护费开支内容包括车辆加油费、维修费。公务用车购置数0辆，公务用车保有量1辆。国有资产占用情况中固定资产车辆1辆，与公务用车保有量差异原因是：本单位固定资产车辆与公务用车保有量一致无差异。</w:t>
      </w:r>
    </w:p>
    <w:p w14:paraId="6369E01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1D2D4052">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0.74万元，决算数0.74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0.74万元，决算数0.74万元，预决算差异率0.00%，主要原因是：严格按照预算执行，预决算无差异。公务接待费全年预算数0.00万元，决算数0.00万元，预决算差异率0.00%，主要原因是：本单位无公务接待费。</w:t>
      </w:r>
    </w:p>
    <w:p w14:paraId="4EACB342">
      <w:pPr>
        <w:spacing w:line="640" w:lineRule="exact"/>
        <w:ind w:firstLine="640"/>
        <w:jc w:val="both"/>
        <w:outlineLvl w:val="2"/>
      </w:pPr>
      <w:r>
        <w:rPr>
          <w:rFonts w:ascii="黑体" w:hAnsi="黑体" w:eastAsia="黑体"/>
          <w:sz w:val="32"/>
        </w:rPr>
        <w:t>十、其他重要事项的情况说明</w:t>
      </w:r>
    </w:p>
    <w:p w14:paraId="5ED7DF92">
      <w:pPr>
        <w:spacing w:line="640" w:lineRule="exact"/>
        <w:ind w:firstLine="640"/>
        <w:jc w:val="both"/>
        <w:outlineLvl w:val="3"/>
      </w:pPr>
      <w:r>
        <w:rPr>
          <w:rFonts w:ascii="楷体_GB2312" w:hAnsi="楷体_GB2312" w:eastAsia="楷体_GB2312"/>
          <w:b/>
          <w:sz w:val="32"/>
        </w:rPr>
        <w:t>（一）机关运行经费及公用经费支出情况</w:t>
      </w:r>
    </w:p>
    <w:p w14:paraId="635E3975">
      <w:pPr>
        <w:spacing w:line="580" w:lineRule="exact"/>
        <w:ind w:firstLine="640"/>
        <w:jc w:val="both"/>
      </w:pPr>
      <w:r>
        <w:rPr>
          <w:rFonts w:ascii="仿宋_GB2312" w:hAnsi="仿宋_GB2312" w:eastAsia="仿宋_GB2312"/>
          <w:b w:val="0"/>
          <w:sz w:val="32"/>
        </w:rPr>
        <w:t>2024年度托里县歌舞团（事业单位）公用经费支出3.02万元，比上年增加1.26万元，增长71.59%，主要原因是：本年业务量增加，</w:t>
      </w:r>
      <w:r>
        <w:rPr>
          <w:rFonts w:hint="eastAsia" w:ascii="仿宋_GB2312" w:hAnsi="仿宋_GB2312" w:eastAsia="仿宋_GB2312"/>
          <w:b w:val="0"/>
          <w:sz w:val="32"/>
          <w:lang w:val="en-US" w:eastAsia="zh-CN"/>
        </w:rPr>
        <w:t>增加办公费，导致</w:t>
      </w:r>
      <w:r>
        <w:rPr>
          <w:rFonts w:ascii="仿宋_GB2312" w:hAnsi="仿宋_GB2312" w:eastAsia="仿宋_GB2312"/>
          <w:b w:val="0"/>
          <w:sz w:val="32"/>
        </w:rPr>
        <w:t>公用经费增加。</w:t>
      </w:r>
    </w:p>
    <w:p w14:paraId="30CD2A9E">
      <w:pPr>
        <w:spacing w:line="640" w:lineRule="exact"/>
        <w:ind w:firstLine="640"/>
        <w:jc w:val="both"/>
        <w:outlineLvl w:val="3"/>
      </w:pPr>
      <w:r>
        <w:rPr>
          <w:rFonts w:ascii="楷体_GB2312" w:hAnsi="楷体_GB2312" w:eastAsia="楷体_GB2312"/>
          <w:b/>
          <w:sz w:val="32"/>
        </w:rPr>
        <w:t>（二）政府采购情况</w:t>
      </w:r>
    </w:p>
    <w:p w14:paraId="06884566">
      <w:pPr>
        <w:spacing w:line="580" w:lineRule="exact"/>
        <w:ind w:firstLine="640"/>
        <w:jc w:val="both"/>
      </w:pPr>
      <w:r>
        <w:rPr>
          <w:rFonts w:ascii="仿宋_GB2312" w:hAnsi="仿宋_GB2312" w:eastAsia="仿宋_GB2312"/>
          <w:b w:val="0"/>
          <w:sz w:val="32"/>
        </w:rPr>
        <w:t>2024年度政府采购支出总额0.00万元，其中：政府采购货物支出0.00万元、政府采购工程支出0.00万元、政府采购服务支出0.00万元。</w:t>
      </w:r>
    </w:p>
    <w:p w14:paraId="35A49D56">
      <w:pPr>
        <w:spacing w:line="580" w:lineRule="exact"/>
        <w:ind w:firstLine="640"/>
        <w:jc w:val="both"/>
      </w:pPr>
      <w:r>
        <w:rPr>
          <w:rFonts w:ascii="仿宋_GB2312" w:hAnsi="仿宋_GB2312" w:eastAsia="仿宋_GB2312"/>
          <w:b w:val="0"/>
          <w:sz w:val="32"/>
        </w:rPr>
        <w:t>授予中小企业合同金额0.00万元，占政府采购支出总额的0.00%，其中：授予小微企业合同金额0.00万元，占政府采购支出总额的0.00%。</w:t>
      </w:r>
    </w:p>
    <w:p w14:paraId="13314358">
      <w:pPr>
        <w:spacing w:line="640" w:lineRule="exact"/>
        <w:ind w:firstLine="640"/>
        <w:jc w:val="both"/>
        <w:outlineLvl w:val="3"/>
      </w:pPr>
      <w:r>
        <w:rPr>
          <w:rFonts w:ascii="楷体_GB2312" w:hAnsi="楷体_GB2312" w:eastAsia="楷体_GB2312"/>
          <w:b/>
          <w:sz w:val="32"/>
        </w:rPr>
        <w:t>（三）国有资产占用情况说明</w:t>
      </w:r>
    </w:p>
    <w:p w14:paraId="1C45CACE">
      <w:pPr>
        <w:spacing w:line="580" w:lineRule="exact"/>
        <w:ind w:firstLine="640"/>
        <w:jc w:val="both"/>
      </w:pPr>
      <w:r>
        <w:rPr>
          <w:rFonts w:ascii="仿宋_GB2312" w:hAnsi="仿宋_GB2312" w:eastAsia="仿宋_GB2312"/>
          <w:b w:val="0"/>
          <w:sz w:val="32"/>
        </w:rPr>
        <w:t>截至2024年12月31日，房屋0.00平方米，价值0.00万元。车辆1辆，价值39.70万元，其中：副部（省）级及以上领导用车0辆、主要负责人用车0辆、机要通信用车0辆、应急保障用车0辆、执法执勤用车0辆、特种专业技术用车0辆、离退休干部服务用车0辆、其他用车1辆，其他用车主要是：一般公务用车。单价100万元（含）以上设备（不含车辆）0台（套）。</w:t>
      </w:r>
    </w:p>
    <w:p w14:paraId="79CF58AA">
      <w:pPr>
        <w:spacing w:line="640" w:lineRule="exact"/>
        <w:ind w:firstLine="640"/>
        <w:jc w:val="both"/>
        <w:outlineLvl w:val="2"/>
      </w:pPr>
      <w:r>
        <w:rPr>
          <w:rFonts w:ascii="黑体" w:hAnsi="黑体" w:eastAsia="黑体"/>
          <w:sz w:val="32"/>
        </w:rPr>
        <w:t>十一、预算绩效的情况说明</w:t>
      </w:r>
    </w:p>
    <w:p w14:paraId="424525B4">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141.45万元，实际执行总额141.45万元；预算绩效评价项目2个，全年预算数16.90万元，全年执行数16.90万元。预算绩效管理取得的成效：强化了预算绩效意识。“花钱必有效，无效必问责”的意识增强。发现的问题及原因：在资金分配支付方面不均衡，影响支付进度。下一步改进措施：合理安排</w:t>
      </w:r>
      <w:r>
        <w:rPr>
          <w:rFonts w:hint="eastAsia" w:ascii="仿宋_GB2312" w:hAnsi="仿宋_GB2312" w:eastAsia="仿宋_GB2312"/>
          <w:b w:val="0"/>
          <w:sz w:val="32"/>
          <w:lang w:eastAsia="zh-CN"/>
        </w:rPr>
        <w:t>各</w:t>
      </w:r>
      <w:r>
        <w:rPr>
          <w:rFonts w:ascii="仿宋_GB2312" w:hAnsi="仿宋_GB2312" w:eastAsia="仿宋_GB2312"/>
          <w:b w:val="0"/>
          <w:sz w:val="32"/>
        </w:rPr>
        <w:t>项目资金支出，尽可能保持均衡的支出进度，以利于单位工作正常开展，保障重点项目顺利实施。具体附整体支出绩效自评表，项目支出绩效自评表和评价报告。</w:t>
      </w:r>
    </w:p>
    <w:p w14:paraId="05AAE8E6">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5D74C5F2">
        <w:tblPrEx>
          <w:tblCellMar>
            <w:top w:w="0" w:type="dxa"/>
            <w:left w:w="108" w:type="dxa"/>
            <w:bottom w:w="0" w:type="dxa"/>
            <w:right w:w="108" w:type="dxa"/>
          </w:tblCellMar>
        </w:tblPrEx>
        <w:tc>
          <w:tcPr>
            <w:tcW w:w="8840" w:type="dxa"/>
            <w:gridSpan w:val="8"/>
            <w:vAlign w:val="center"/>
          </w:tcPr>
          <w:p w14:paraId="51118B17">
            <w:pPr>
              <w:jc w:val="center"/>
            </w:pPr>
            <w:r>
              <w:rPr>
                <w:rFonts w:ascii="宋体" w:hAnsi="宋体" w:eastAsia="宋体"/>
                <w:sz w:val="24"/>
              </w:rPr>
              <w:t>单位整体支出绩效自评表</w:t>
            </w:r>
          </w:p>
        </w:tc>
      </w:tr>
      <w:tr w14:paraId="0D424F3E">
        <w:tblPrEx>
          <w:tblCellMar>
            <w:top w:w="0" w:type="dxa"/>
            <w:left w:w="108" w:type="dxa"/>
            <w:bottom w:w="0" w:type="dxa"/>
            <w:right w:w="108" w:type="dxa"/>
          </w:tblCellMar>
        </w:tblPrEx>
        <w:tc>
          <w:tcPr>
            <w:tcW w:w="8840" w:type="dxa"/>
            <w:gridSpan w:val="8"/>
            <w:vAlign w:val="center"/>
          </w:tcPr>
          <w:p w14:paraId="1A23C672">
            <w:pPr>
              <w:jc w:val="center"/>
            </w:pPr>
            <w:r>
              <w:rPr>
                <w:rFonts w:ascii="宋体" w:hAnsi="宋体" w:eastAsia="宋体"/>
                <w:sz w:val="24"/>
              </w:rPr>
              <w:t>（2024年度）</w:t>
            </w:r>
          </w:p>
        </w:tc>
      </w:tr>
      <w:tr w14:paraId="6AB17E6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5B6DF">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02EEC3">
            <w:pPr>
              <w:jc w:val="center"/>
            </w:pPr>
            <w:r>
              <w:rPr>
                <w:rFonts w:ascii="宋体" w:hAnsi="宋体" w:eastAsia="宋体"/>
                <w:sz w:val="16"/>
              </w:rPr>
              <w:t>托里县歌舞团</w:t>
            </w:r>
          </w:p>
        </w:tc>
      </w:tr>
      <w:tr w14:paraId="2E87B3A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5C9A7EF">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EDA612">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944DBD">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20048">
            <w:pPr>
              <w:jc w:val="center"/>
            </w:pPr>
            <w:r>
              <w:rPr>
                <w:rFonts w:ascii="宋体" w:hAnsi="宋体" w:eastAsia="宋体"/>
                <w:sz w:val="16"/>
              </w:rPr>
              <w:t>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DE63BD">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31E44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72B124">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4AD207">
            <w:pPr>
              <w:jc w:val="center"/>
            </w:pPr>
            <w:r>
              <w:rPr>
                <w:rFonts w:ascii="宋体" w:hAnsi="宋体" w:eastAsia="宋体"/>
                <w:sz w:val="16"/>
              </w:rPr>
              <w:t>得分</w:t>
            </w:r>
          </w:p>
        </w:tc>
      </w:tr>
      <w:tr w14:paraId="2C6B5AE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30720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44AE0D">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D6A87E">
            <w:pPr>
              <w:jc w:val="center"/>
            </w:pPr>
            <w:r>
              <w:rPr>
                <w:rFonts w:ascii="宋体" w:hAnsi="宋体" w:eastAsia="宋体"/>
                <w:sz w:val="16"/>
              </w:rPr>
              <w:t>143.70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1FBDE0">
            <w:pPr>
              <w:jc w:val="center"/>
            </w:pPr>
            <w:r>
              <w:rPr>
                <w:rFonts w:ascii="宋体" w:hAnsi="宋体" w:eastAsia="宋体"/>
                <w:sz w:val="16"/>
              </w:rPr>
              <w:t>141.45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4FCAC3">
            <w:pPr>
              <w:jc w:val="center"/>
            </w:pPr>
            <w:r>
              <w:rPr>
                <w:rFonts w:ascii="宋体" w:hAnsi="宋体" w:eastAsia="宋体"/>
                <w:sz w:val="16"/>
              </w:rPr>
              <w:t>141.45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411D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F4BDE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72BA38">
            <w:pPr>
              <w:jc w:val="center"/>
            </w:pPr>
            <w:r>
              <w:rPr>
                <w:rFonts w:ascii="宋体" w:hAnsi="宋体" w:eastAsia="宋体"/>
                <w:sz w:val="16"/>
              </w:rPr>
              <w:t>10</w:t>
            </w:r>
          </w:p>
        </w:tc>
      </w:tr>
      <w:tr w14:paraId="71F3EB2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FB5D5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F7D45">
            <w:pPr>
              <w:jc w:val="center"/>
            </w:pPr>
            <w:r>
              <w:rPr>
                <w:rFonts w:ascii="宋体" w:hAnsi="宋体" w:eastAsia="宋体"/>
                <w:sz w:val="16"/>
              </w:rPr>
              <w:t>其中：上级安排（万元）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141E58">
            <w:pPr>
              <w:jc w:val="center"/>
            </w:pPr>
            <w:r>
              <w:rPr>
                <w:rFonts w:ascii="宋体" w:hAnsi="宋体" w:eastAsia="宋体"/>
                <w:sz w:val="16"/>
              </w:rPr>
              <w:t>127.70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3CA995">
            <w:pPr>
              <w:jc w:val="center"/>
            </w:pPr>
            <w:r>
              <w:rPr>
                <w:rFonts w:ascii="宋体" w:hAnsi="宋体" w:eastAsia="宋体"/>
                <w:sz w:val="16"/>
              </w:rPr>
              <w:t>124.55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D2B86D">
            <w:pPr>
              <w:jc w:val="center"/>
            </w:pPr>
            <w:r>
              <w:rPr>
                <w:rFonts w:ascii="宋体" w:hAnsi="宋体" w:eastAsia="宋体"/>
                <w:sz w:val="16"/>
              </w:rPr>
              <w:t>124.55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BE847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DBB5ED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F19E52">
            <w:pPr>
              <w:jc w:val="center"/>
            </w:pPr>
            <w:r>
              <w:rPr>
                <w:rFonts w:ascii="宋体" w:hAnsi="宋体" w:eastAsia="宋体"/>
                <w:sz w:val="16"/>
              </w:rPr>
              <w:t>-</w:t>
            </w:r>
          </w:p>
        </w:tc>
      </w:tr>
      <w:tr w14:paraId="6D5D828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0EB034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537C81">
            <w:pPr>
              <w:jc w:val="center"/>
            </w:pPr>
            <w:r>
              <w:rPr>
                <w:rFonts w:ascii="宋体" w:hAnsi="宋体" w:eastAsia="宋体"/>
                <w:sz w:val="16"/>
              </w:rPr>
              <w:t>本级安排（万元）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1BE56">
            <w:pPr>
              <w:jc w:val="center"/>
            </w:pPr>
            <w:r>
              <w:rPr>
                <w:rFonts w:ascii="宋体" w:hAnsi="宋体" w:eastAsia="宋体"/>
                <w:sz w:val="16"/>
              </w:rPr>
              <w:t>16.00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36469E">
            <w:pPr>
              <w:jc w:val="center"/>
            </w:pPr>
            <w:r>
              <w:rPr>
                <w:rFonts w:ascii="宋体" w:hAnsi="宋体" w:eastAsia="宋体"/>
                <w:sz w:val="16"/>
              </w:rPr>
              <w:t>16.90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3EB3A0">
            <w:pPr>
              <w:jc w:val="center"/>
            </w:pPr>
            <w:r>
              <w:rPr>
                <w:rFonts w:ascii="宋体" w:hAnsi="宋体" w:eastAsia="宋体"/>
                <w:sz w:val="16"/>
              </w:rPr>
              <w:t>16.90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F0FAB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1C82EE">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61CE21">
            <w:pPr>
              <w:jc w:val="center"/>
            </w:pPr>
            <w:r>
              <w:rPr>
                <w:rFonts w:ascii="宋体" w:hAnsi="宋体" w:eastAsia="宋体"/>
                <w:sz w:val="16"/>
              </w:rPr>
              <w:t>-</w:t>
            </w:r>
          </w:p>
        </w:tc>
      </w:tr>
      <w:tr w14:paraId="45A38C6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F84576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9D8F94">
            <w:pPr>
              <w:jc w:val="center"/>
            </w:pPr>
            <w:r>
              <w:rPr>
                <w:rFonts w:ascii="宋体" w:hAnsi="宋体" w:eastAsia="宋体"/>
                <w:sz w:val="16"/>
              </w:rPr>
              <w:t>其他资金（万元）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B11C35">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E2BD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0CF1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AC3E39">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51CFE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61677B">
            <w:pPr>
              <w:jc w:val="center"/>
            </w:pPr>
            <w:r>
              <w:rPr>
                <w:rFonts w:ascii="宋体" w:hAnsi="宋体" w:eastAsia="宋体"/>
                <w:sz w:val="16"/>
              </w:rPr>
              <w:t>-</w:t>
            </w:r>
          </w:p>
        </w:tc>
      </w:tr>
      <w:tr w14:paraId="5F4E484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53F7252">
            <w:pPr>
              <w:jc w:val="center"/>
            </w:pPr>
            <w:r>
              <w:rPr>
                <w:rFonts w:ascii="宋体" w:hAnsi="宋体" w:eastAsia="宋体"/>
                <w:sz w:val="16"/>
              </w:rPr>
              <w:t>年度总目标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5BE551F4">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1A951755">
            <w:pPr>
              <w:jc w:val="center"/>
            </w:pPr>
            <w:r>
              <w:rPr>
                <w:rFonts w:ascii="宋体" w:hAnsi="宋体" w:eastAsia="宋体"/>
                <w:sz w:val="16"/>
              </w:rPr>
              <w:t>实际完成情况</w:t>
            </w:r>
          </w:p>
        </w:tc>
      </w:tr>
      <w:tr w14:paraId="0A2A046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C5B2174"/>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69450F50">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将继续按县上文化精品节目要求，在文化活动中心开展春节联欢晚会文艺演出、诺如孜节大型文艺演出、阿肯阿依特斯文艺、百日广场4场演出、编制文艺节目数量不少于32场次、舞台艺术作品演出种类不少于19种，通过政府搭台、群众参与，举办丰富多彩的文艺演出，解决各族群众看戏难的问题，让各族群众近距离观看文艺演出，近距离与演员互动，</w:t>
            </w:r>
            <w:r>
              <w:rPr>
                <w:rFonts w:hint="eastAsia" w:ascii="宋体" w:hAnsi="宋体"/>
                <w:sz w:val="16"/>
                <w:lang w:eastAsia="zh-CN"/>
              </w:rPr>
              <w:t>体会</w:t>
            </w:r>
            <w:r>
              <w:rPr>
                <w:rFonts w:ascii="宋体" w:hAnsi="宋体" w:eastAsia="宋体"/>
                <w:sz w:val="16"/>
              </w:rPr>
              <w:t>到不同的感受，满足各族群众文化活动需要，提高文化文艺覆盖</w:t>
            </w:r>
            <w:r>
              <w:rPr>
                <w:rFonts w:hint="eastAsia" w:ascii="宋体" w:hAnsi="宋体"/>
                <w:sz w:val="16"/>
                <w:lang w:eastAsia="zh-CN"/>
              </w:rPr>
              <w:t>面和</w:t>
            </w:r>
            <w:r>
              <w:rPr>
                <w:rFonts w:ascii="宋体" w:hAnsi="宋体" w:eastAsia="宋体"/>
                <w:sz w:val="16"/>
              </w:rPr>
              <w:t>影响力，促进民族文化交流，使传统节日得到传承。</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F7573E7">
            <w:pPr>
              <w:jc w:val="both"/>
            </w:pPr>
            <w:r>
              <w:rPr>
                <w:rFonts w:ascii="宋体" w:hAnsi="宋体" w:eastAsia="宋体"/>
                <w:sz w:val="16"/>
              </w:rPr>
              <w:t>2024年</w:t>
            </w:r>
            <w:r>
              <w:rPr>
                <w:rFonts w:hint="eastAsia" w:ascii="宋体" w:hAnsi="宋体"/>
                <w:sz w:val="16"/>
                <w:lang w:eastAsia="zh-CN"/>
              </w:rPr>
              <w:t>本单位</w:t>
            </w:r>
            <w:r>
              <w:rPr>
                <w:rFonts w:ascii="宋体" w:hAnsi="宋体" w:eastAsia="宋体"/>
                <w:sz w:val="16"/>
              </w:rPr>
              <w:t>将继续按县上文化精品节目要求，在文化活动中心完成春节联欢晚会文艺演出、诺如孜节等大型文艺演出4场演出、编制文艺节目数量完成32场次、舞台艺术作品演出种类完成19种，全年演出场次完成27场次，保障演出人员22人，通过政府搭台、群众参与，举办丰富多彩的文艺演出，解决各族群众看戏难的问题，让各族群众近距离观看文艺演出，近距离与演员互动，</w:t>
            </w:r>
            <w:r>
              <w:rPr>
                <w:rFonts w:hint="eastAsia" w:ascii="宋体" w:hAnsi="宋体"/>
                <w:sz w:val="16"/>
                <w:lang w:eastAsia="zh-CN"/>
              </w:rPr>
              <w:t>体会</w:t>
            </w:r>
            <w:r>
              <w:rPr>
                <w:rFonts w:ascii="宋体" w:hAnsi="宋体" w:eastAsia="宋体"/>
                <w:sz w:val="16"/>
              </w:rPr>
              <w:t>到不同的感受，满足各族群众文化活动需要，提高文化文艺覆盖</w:t>
            </w:r>
            <w:r>
              <w:rPr>
                <w:rFonts w:hint="eastAsia" w:ascii="宋体" w:hAnsi="宋体"/>
                <w:sz w:val="16"/>
                <w:lang w:eastAsia="zh-CN"/>
              </w:rPr>
              <w:t>面和</w:t>
            </w:r>
            <w:r>
              <w:rPr>
                <w:rFonts w:ascii="宋体" w:hAnsi="宋体" w:eastAsia="宋体"/>
                <w:sz w:val="16"/>
              </w:rPr>
              <w:t>影响力，促进民族文化交流，使传统节日得到传承。</w:t>
            </w:r>
          </w:p>
        </w:tc>
      </w:tr>
      <w:tr w14:paraId="2AA08D3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CB9023">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DFA16">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1AA42F">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CBD50E">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52CEB0">
            <w:pPr>
              <w:jc w:val="center"/>
            </w:pPr>
            <w:r>
              <w:rPr>
                <w:rFonts w:ascii="宋体" w:hAnsi="宋体" w:eastAsia="宋体"/>
                <w:sz w:val="16"/>
              </w:rPr>
              <w:t>指标设定依据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902C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4AFBC">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458BBC">
            <w:pPr>
              <w:jc w:val="center"/>
            </w:pPr>
            <w:r>
              <w:rPr>
                <w:rFonts w:ascii="宋体" w:hAnsi="宋体" w:eastAsia="宋体"/>
                <w:sz w:val="16"/>
              </w:rPr>
              <w:t>得分</w:t>
            </w:r>
          </w:p>
        </w:tc>
      </w:tr>
      <w:tr w14:paraId="70852B0A">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61A0175">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1191D5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2E48E">
            <w:pPr>
              <w:jc w:val="center"/>
            </w:pPr>
            <w:r>
              <w:rPr>
                <w:rFonts w:ascii="宋体" w:hAnsi="宋体" w:eastAsia="宋体"/>
                <w:sz w:val="16"/>
              </w:rPr>
              <w:t>编制文艺节目数量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409C98">
            <w:pPr>
              <w:jc w:val="center"/>
            </w:pPr>
            <w:r>
              <w:rPr>
                <w:rFonts w:ascii="宋体" w:hAnsi="宋体" w:eastAsia="宋体"/>
                <w:sz w:val="16"/>
              </w:rPr>
              <w:t>&gt;=32场次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01F348">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E2A47C">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48B29">
            <w:pPr>
              <w:jc w:val="center"/>
            </w:pPr>
            <w:r>
              <w:rPr>
                <w:rFonts w:ascii="宋体" w:hAnsi="宋体" w:eastAsia="宋体"/>
                <w:sz w:val="16"/>
              </w:rPr>
              <w:t>&gt;=32场次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9BF557">
            <w:pPr>
              <w:jc w:val="center"/>
            </w:pPr>
            <w:r>
              <w:rPr>
                <w:rFonts w:ascii="宋体" w:hAnsi="宋体" w:eastAsia="宋体"/>
                <w:sz w:val="16"/>
              </w:rPr>
              <w:t>15</w:t>
            </w:r>
          </w:p>
        </w:tc>
      </w:tr>
      <w:tr w14:paraId="3BE205F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6E381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9AE28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B7D7F2">
            <w:pPr>
              <w:jc w:val="center"/>
            </w:pPr>
            <w:r>
              <w:rPr>
                <w:rFonts w:ascii="宋体" w:hAnsi="宋体" w:eastAsia="宋体"/>
                <w:sz w:val="16"/>
              </w:rPr>
              <w:t>全年演出场次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7A42D">
            <w:pPr>
              <w:jc w:val="center"/>
            </w:pPr>
            <w:r>
              <w:rPr>
                <w:rFonts w:ascii="宋体" w:hAnsi="宋体" w:eastAsia="宋体"/>
                <w:sz w:val="16"/>
              </w:rPr>
              <w:t>&gt;=27场次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79ED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45440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9855A2">
            <w:pPr>
              <w:jc w:val="center"/>
            </w:pPr>
            <w:r>
              <w:rPr>
                <w:rFonts w:ascii="宋体" w:hAnsi="宋体" w:eastAsia="宋体"/>
                <w:sz w:val="16"/>
              </w:rPr>
              <w:t>&gt;=27场次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6B4BF">
            <w:pPr>
              <w:jc w:val="center"/>
            </w:pPr>
            <w:r>
              <w:rPr>
                <w:rFonts w:ascii="宋体" w:hAnsi="宋体" w:eastAsia="宋体"/>
                <w:sz w:val="16"/>
              </w:rPr>
              <w:t>15</w:t>
            </w:r>
          </w:p>
        </w:tc>
      </w:tr>
      <w:tr w14:paraId="13914E99">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A1A3E0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04BC82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041F04">
            <w:pPr>
              <w:jc w:val="center"/>
            </w:pPr>
            <w:r>
              <w:rPr>
                <w:rFonts w:ascii="宋体" w:hAnsi="宋体" w:eastAsia="宋体"/>
                <w:sz w:val="16"/>
              </w:rPr>
              <w:t>保障演出人员数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05F8FB">
            <w:pPr>
              <w:jc w:val="center"/>
            </w:pPr>
            <w:r>
              <w:rPr>
                <w:rFonts w:ascii="宋体" w:hAnsi="宋体" w:eastAsia="宋体"/>
                <w:sz w:val="16"/>
              </w:rPr>
              <w:t>&gt;=22人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79387D">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43222F">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459268">
            <w:pPr>
              <w:jc w:val="center"/>
            </w:pPr>
            <w:r>
              <w:rPr>
                <w:rFonts w:ascii="宋体" w:hAnsi="宋体" w:eastAsia="宋体"/>
                <w:sz w:val="16"/>
              </w:rPr>
              <w:t>&gt;=22人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678A0">
            <w:pPr>
              <w:jc w:val="center"/>
            </w:pPr>
            <w:r>
              <w:rPr>
                <w:rFonts w:ascii="宋体" w:hAnsi="宋体" w:eastAsia="宋体"/>
                <w:sz w:val="16"/>
              </w:rPr>
              <w:t>15</w:t>
            </w:r>
          </w:p>
        </w:tc>
      </w:tr>
      <w:tr w14:paraId="599B36C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4BCFF95"/>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D78649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DF5814">
            <w:pPr>
              <w:jc w:val="center"/>
            </w:pPr>
            <w:r>
              <w:rPr>
                <w:rFonts w:ascii="宋体" w:hAnsi="宋体" w:eastAsia="宋体"/>
                <w:sz w:val="16"/>
              </w:rPr>
              <w:t>推动中华传统民间艺术节目场次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DD5E28">
            <w:pPr>
              <w:jc w:val="center"/>
            </w:pPr>
            <w:r>
              <w:rPr>
                <w:rFonts w:ascii="宋体" w:hAnsi="宋体" w:eastAsia="宋体"/>
                <w:sz w:val="16"/>
              </w:rPr>
              <w:t>&gt;=4场次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264F4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F269C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4DA308">
            <w:pPr>
              <w:jc w:val="center"/>
            </w:pPr>
            <w:r>
              <w:rPr>
                <w:rFonts w:ascii="宋体" w:hAnsi="宋体" w:eastAsia="宋体"/>
                <w:sz w:val="16"/>
              </w:rPr>
              <w:t>&gt;=4场次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0F8BFB">
            <w:pPr>
              <w:jc w:val="center"/>
            </w:pPr>
            <w:r>
              <w:rPr>
                <w:rFonts w:ascii="宋体" w:hAnsi="宋体" w:eastAsia="宋体"/>
                <w:sz w:val="16"/>
              </w:rPr>
              <w:t>15</w:t>
            </w:r>
          </w:p>
        </w:tc>
      </w:tr>
      <w:tr w14:paraId="4F81B7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CF0250"/>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7274D3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4ADA28">
            <w:pPr>
              <w:jc w:val="center"/>
            </w:pPr>
            <w:r>
              <w:rPr>
                <w:rFonts w:ascii="宋体" w:hAnsi="宋体" w:eastAsia="宋体"/>
                <w:sz w:val="16"/>
              </w:rPr>
              <w:t>舞台艺术作品演出种类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024937">
            <w:pPr>
              <w:jc w:val="center"/>
            </w:pPr>
            <w:r>
              <w:rPr>
                <w:rFonts w:ascii="宋体" w:hAnsi="宋体" w:eastAsia="宋体"/>
                <w:sz w:val="16"/>
              </w:rPr>
              <w:t>&gt;=19种类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387CB9">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42BCD">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4B6A0">
            <w:pPr>
              <w:jc w:val="center"/>
            </w:pPr>
            <w:r>
              <w:rPr>
                <w:rFonts w:ascii="宋体" w:hAnsi="宋体" w:eastAsia="宋体"/>
                <w:sz w:val="16"/>
              </w:rPr>
              <w:t>&gt;=19种类</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51DE12">
            <w:pPr>
              <w:jc w:val="center"/>
            </w:pPr>
            <w:r>
              <w:rPr>
                <w:rFonts w:ascii="宋体" w:hAnsi="宋体" w:eastAsia="宋体"/>
                <w:sz w:val="16"/>
              </w:rPr>
              <w:t>15</w:t>
            </w:r>
          </w:p>
        </w:tc>
      </w:tr>
      <w:tr w14:paraId="39FC00A4">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20ECC0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FC432C">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A49DD0">
            <w:pPr>
              <w:jc w:val="center"/>
            </w:pPr>
            <w:r>
              <w:rPr>
                <w:rFonts w:ascii="宋体" w:hAnsi="宋体" w:eastAsia="宋体"/>
                <w:sz w:val="16"/>
              </w:rPr>
              <w:t>文艺演出参与率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B4D7B3">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7B670">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F14352">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E5233BC">
            <w:pPr>
              <w:jc w:val="center"/>
            </w:pPr>
            <w:r>
              <w:rPr>
                <w:rFonts w:ascii="宋体" w:hAnsi="宋体" w:eastAsia="宋体"/>
                <w:sz w:val="16"/>
              </w:rPr>
              <w:t>&gt;=90%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DA769E">
            <w:pPr>
              <w:jc w:val="center"/>
            </w:pPr>
            <w:r>
              <w:rPr>
                <w:rFonts w:ascii="宋体" w:hAnsi="宋体" w:eastAsia="宋体"/>
                <w:sz w:val="16"/>
              </w:rPr>
              <w:t>15</w:t>
            </w:r>
          </w:p>
        </w:tc>
      </w:tr>
    </w:tbl>
    <w:p w14:paraId="7EF0ECBD">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0E40ED1C">
        <w:tblPrEx>
          <w:tblCellMar>
            <w:top w:w="0" w:type="dxa"/>
            <w:left w:w="108" w:type="dxa"/>
            <w:bottom w:w="0" w:type="dxa"/>
            <w:right w:w="108" w:type="dxa"/>
          </w:tblCellMar>
        </w:tblPrEx>
        <w:tc>
          <w:tcPr>
            <w:tcW w:w="8848" w:type="dxa"/>
            <w:gridSpan w:val="14"/>
            <w:vAlign w:val="center"/>
          </w:tcPr>
          <w:p w14:paraId="367D43C3">
            <w:pPr>
              <w:jc w:val="center"/>
            </w:pPr>
            <w:r>
              <w:rPr>
                <w:rFonts w:ascii="宋体" w:hAnsi="宋体" w:eastAsia="宋体"/>
                <w:sz w:val="24"/>
              </w:rPr>
              <w:t>项目支出绩效自评表</w:t>
            </w:r>
          </w:p>
        </w:tc>
      </w:tr>
      <w:tr w14:paraId="283666BC">
        <w:tblPrEx>
          <w:tblCellMar>
            <w:top w:w="0" w:type="dxa"/>
            <w:left w:w="108" w:type="dxa"/>
            <w:bottom w:w="0" w:type="dxa"/>
            <w:right w:w="108" w:type="dxa"/>
          </w:tblCellMar>
        </w:tblPrEx>
        <w:tc>
          <w:tcPr>
            <w:tcW w:w="8848" w:type="dxa"/>
            <w:gridSpan w:val="14"/>
            <w:vAlign w:val="center"/>
          </w:tcPr>
          <w:p w14:paraId="32D2EFAB">
            <w:pPr>
              <w:jc w:val="center"/>
            </w:pPr>
            <w:r>
              <w:rPr>
                <w:rFonts w:ascii="宋体" w:hAnsi="宋体" w:eastAsia="宋体"/>
                <w:sz w:val="24"/>
              </w:rPr>
              <w:t>(2024年度)</w:t>
            </w:r>
          </w:p>
        </w:tc>
      </w:tr>
      <w:tr w14:paraId="314C69A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7DBD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5A4245">
            <w:pPr>
              <w:jc w:val="center"/>
            </w:pPr>
            <w:r>
              <w:rPr>
                <w:rFonts w:ascii="宋体" w:hAnsi="宋体" w:eastAsia="宋体"/>
                <w:sz w:val="16"/>
              </w:rPr>
              <w:t>托里县歌舞团节日文化活动项目</w:t>
            </w:r>
          </w:p>
        </w:tc>
      </w:tr>
      <w:tr w14:paraId="5A90E32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1426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B9E4E">
            <w:pPr>
              <w:jc w:val="center"/>
            </w:pPr>
            <w:r>
              <w:rPr>
                <w:rFonts w:ascii="宋体" w:hAnsi="宋体" w:eastAsia="宋体"/>
                <w:sz w:val="16"/>
              </w:rPr>
              <w:t>托里县歌舞团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B4D79">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4F31300">
            <w:pPr>
              <w:jc w:val="center"/>
            </w:pPr>
            <w:r>
              <w:rPr>
                <w:rFonts w:ascii="宋体" w:hAnsi="宋体" w:eastAsia="宋体"/>
                <w:sz w:val="16"/>
              </w:rPr>
              <w:t>托里县歌舞团</w:t>
            </w:r>
          </w:p>
        </w:tc>
      </w:tr>
      <w:tr w14:paraId="00DA612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BB97746">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ED3C1A">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DD6013">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3E36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8499F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D2C6D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796983">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B4E914">
            <w:pPr>
              <w:jc w:val="center"/>
            </w:pPr>
            <w:r>
              <w:rPr>
                <w:rFonts w:ascii="宋体" w:hAnsi="宋体" w:eastAsia="宋体"/>
                <w:sz w:val="16"/>
              </w:rPr>
              <w:t>得分</w:t>
            </w:r>
          </w:p>
        </w:tc>
      </w:tr>
      <w:tr w14:paraId="213F30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E20B5C"/>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B392E">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427B5D">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86DCDB">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B18FF9">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BAACD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43040E">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216B8">
            <w:pPr>
              <w:jc w:val="center"/>
            </w:pPr>
            <w:r>
              <w:rPr>
                <w:rFonts w:ascii="宋体" w:hAnsi="宋体" w:eastAsia="宋体"/>
                <w:sz w:val="16"/>
              </w:rPr>
              <w:t>10.00</w:t>
            </w:r>
          </w:p>
        </w:tc>
      </w:tr>
      <w:tr w14:paraId="730C58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A4232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2C3EF4">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C7716C">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EEBDA0">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9E882F">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A8968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14AC1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0ED78">
            <w:pPr>
              <w:jc w:val="center"/>
            </w:pPr>
            <w:r>
              <w:rPr>
                <w:rFonts w:ascii="宋体" w:hAnsi="宋体" w:eastAsia="宋体"/>
                <w:sz w:val="16"/>
              </w:rPr>
              <w:t>—</w:t>
            </w:r>
          </w:p>
        </w:tc>
      </w:tr>
      <w:tr w14:paraId="2BA1D83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A8B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DCDB85">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6313C7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B95C2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E875E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AD3DE">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0D89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84C05">
            <w:pPr>
              <w:jc w:val="center"/>
            </w:pPr>
            <w:r>
              <w:rPr>
                <w:rFonts w:ascii="宋体" w:hAnsi="宋体" w:eastAsia="宋体"/>
                <w:sz w:val="16"/>
              </w:rPr>
              <w:t>—</w:t>
            </w:r>
          </w:p>
        </w:tc>
      </w:tr>
      <w:tr w14:paraId="2495B7E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1577427">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7EED7B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BFE235A">
            <w:pPr>
              <w:jc w:val="center"/>
            </w:pPr>
            <w:r>
              <w:rPr>
                <w:rFonts w:ascii="宋体" w:hAnsi="宋体" w:eastAsia="宋体"/>
                <w:sz w:val="16"/>
              </w:rPr>
              <w:t>实际完成情况</w:t>
            </w:r>
          </w:p>
        </w:tc>
      </w:tr>
      <w:tr w14:paraId="19AD6C0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327C3D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A9D920A">
            <w:pPr>
              <w:jc w:val="both"/>
            </w:pPr>
            <w:r>
              <w:rPr>
                <w:rFonts w:ascii="宋体" w:hAnsi="宋体" w:eastAsia="宋体"/>
                <w:sz w:val="16"/>
              </w:rPr>
              <w:t>项目资金15万元，用于4场次文化活动，演出场次经费不大于3.75万元，在托里县文化活动中心开展春节联欢晚会文艺演出、诺如孜节大型文艺演出、阿肯阿依特斯文艺、百日广场演出。通过政府搭台、群众参与，举办丰富多彩的文艺演出，解决各族群众看戏难的问题，让各族群众近距离观看文艺演出，近距离与演员互动，</w:t>
            </w:r>
            <w:r>
              <w:rPr>
                <w:rFonts w:hint="eastAsia" w:ascii="宋体" w:hAnsi="宋体"/>
                <w:sz w:val="16"/>
                <w:lang w:eastAsia="zh-CN"/>
              </w:rPr>
              <w:t>体会</w:t>
            </w:r>
            <w:r>
              <w:rPr>
                <w:rFonts w:ascii="宋体" w:hAnsi="宋体" w:eastAsia="宋体"/>
                <w:sz w:val="16"/>
              </w:rPr>
              <w:t>到不同的感受，满足各族群众文化活动需要，提高文化文艺覆盖</w:t>
            </w:r>
            <w:r>
              <w:rPr>
                <w:rFonts w:hint="eastAsia" w:ascii="宋体" w:hAnsi="宋体"/>
                <w:sz w:val="16"/>
                <w:lang w:eastAsia="zh-CN"/>
              </w:rPr>
              <w:t>面和</w:t>
            </w:r>
            <w:r>
              <w:rPr>
                <w:rFonts w:ascii="宋体" w:hAnsi="宋体" w:eastAsia="宋体"/>
                <w:sz w:val="16"/>
              </w:rPr>
              <w:t>影响力，促进民族文化交流，使传统节日得到传承。满意度达到95%。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0DD635D">
            <w:pPr>
              <w:jc w:val="both"/>
            </w:pPr>
            <w:r>
              <w:rPr>
                <w:rFonts w:ascii="宋体" w:hAnsi="宋体" w:eastAsia="宋体"/>
                <w:sz w:val="16"/>
              </w:rPr>
              <w:t>项目资金15万元，用于4场次文化活动，演出场次经费不大于3.75万元，在托里县文化活动中心开展春节联欢晚会文艺演出、诺如孜节大型文艺演出、阿肯阿依特斯文艺、百日广场演出。通过政府搭台、群众参与，举办丰富多彩的文艺演出，解决各族群众看戏难的问题，让各族群众近距离观看文艺演出，近距离与演员互动，</w:t>
            </w:r>
            <w:r>
              <w:rPr>
                <w:rFonts w:hint="eastAsia" w:ascii="宋体" w:hAnsi="宋体"/>
                <w:sz w:val="16"/>
                <w:lang w:eastAsia="zh-CN"/>
              </w:rPr>
              <w:t>体会</w:t>
            </w:r>
            <w:r>
              <w:rPr>
                <w:rFonts w:ascii="宋体" w:hAnsi="宋体" w:eastAsia="宋体"/>
                <w:sz w:val="16"/>
              </w:rPr>
              <w:t>到不同的感受，满足各族群众文化活动需要，提高文化文艺覆盖</w:t>
            </w:r>
            <w:r>
              <w:rPr>
                <w:rFonts w:hint="eastAsia" w:ascii="宋体" w:hAnsi="宋体"/>
                <w:sz w:val="16"/>
                <w:lang w:eastAsia="zh-CN"/>
              </w:rPr>
              <w:t>面和</w:t>
            </w:r>
            <w:r>
              <w:rPr>
                <w:rFonts w:ascii="宋体" w:hAnsi="宋体" w:eastAsia="宋体"/>
                <w:sz w:val="16"/>
              </w:rPr>
              <w:t>影响力，促进民族文化交流，使传统节日得到传承。满意度达到95%。</w:t>
            </w:r>
          </w:p>
        </w:tc>
      </w:tr>
      <w:tr w14:paraId="5B7B5AC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2FB6B7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78F2C">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49401">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18746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BCCFF0">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6628D">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1F02A7">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027E36">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BF40B6">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24C2E">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95D847">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CD409">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A0C509">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68A331">
            <w:pPr>
              <w:jc w:val="center"/>
            </w:pPr>
            <w:r>
              <w:rPr>
                <w:rFonts w:ascii="宋体" w:hAnsi="宋体" w:eastAsia="宋体"/>
                <w:sz w:val="16"/>
              </w:rPr>
              <w:t>偏差原因分析及改进措施</w:t>
            </w:r>
          </w:p>
        </w:tc>
      </w:tr>
      <w:tr w14:paraId="62AC7E0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A9EFC2A">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93D785">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A06F0DC">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73B638">
            <w:pPr>
              <w:jc w:val="center"/>
            </w:pPr>
            <w:r>
              <w:rPr>
                <w:rFonts w:ascii="宋体" w:hAnsi="宋体" w:eastAsia="宋体"/>
                <w:sz w:val="16"/>
              </w:rPr>
              <w:t>开展大型文艺演出数量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A39287">
            <w:pPr>
              <w:jc w:val="center"/>
            </w:pPr>
            <w:r>
              <w:rPr>
                <w:rFonts w:ascii="宋体" w:hAnsi="宋体" w:eastAsia="宋体"/>
                <w:sz w:val="16"/>
              </w:rPr>
              <w:t>&gt;=4场次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B4C6C">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6A2444">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5C17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FEB5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47C5A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12CCB7">
            <w:pPr>
              <w:jc w:val="center"/>
            </w:pPr>
            <w:r>
              <w:rPr>
                <w:rFonts w:ascii="宋体" w:hAnsi="宋体" w:eastAsia="宋体"/>
                <w:sz w:val="16"/>
              </w:rPr>
              <w:t>=4场次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7895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46DA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C25C1D">
            <w:pPr>
              <w:jc w:val="center"/>
            </w:pPr>
          </w:p>
        </w:tc>
      </w:tr>
      <w:tr w14:paraId="62FB0F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DCE9D0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7553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813549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011E6">
            <w:pPr>
              <w:jc w:val="center"/>
            </w:pPr>
            <w:r>
              <w:rPr>
                <w:rFonts w:ascii="宋体" w:hAnsi="宋体" w:eastAsia="宋体"/>
                <w:sz w:val="16"/>
              </w:rPr>
              <w:t>舞台艺术作品演出数量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1FA7D7">
            <w:pPr>
              <w:jc w:val="center"/>
            </w:pPr>
            <w:r>
              <w:rPr>
                <w:rFonts w:ascii="宋体" w:hAnsi="宋体" w:eastAsia="宋体"/>
                <w:sz w:val="16"/>
              </w:rPr>
              <w:t>&gt;=19种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18E07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DBBFB2">
            <w:pPr>
              <w:jc w:val="center"/>
            </w:pPr>
            <w:r>
              <w:rPr>
                <w:rFonts w:ascii="宋体" w:hAnsi="宋体" w:eastAsia="宋体"/>
                <w:sz w:val="16"/>
              </w:rPr>
              <w:t>19种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C64F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1307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8B8FDB">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7669C0">
            <w:pPr>
              <w:jc w:val="center"/>
            </w:pPr>
            <w:r>
              <w:rPr>
                <w:rFonts w:ascii="宋体" w:hAnsi="宋体" w:eastAsia="宋体"/>
                <w:sz w:val="16"/>
              </w:rPr>
              <w:t>=19种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8168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91137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DCFD7">
            <w:pPr>
              <w:jc w:val="center"/>
            </w:pPr>
          </w:p>
        </w:tc>
      </w:tr>
      <w:tr w14:paraId="487D60A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68CAB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3AD5E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9A517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91D58">
            <w:pPr>
              <w:jc w:val="center"/>
            </w:pPr>
            <w:r>
              <w:rPr>
                <w:rFonts w:ascii="宋体" w:hAnsi="宋体" w:eastAsia="宋体"/>
                <w:sz w:val="16"/>
              </w:rPr>
              <w:t>文艺演出参与率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9C5E82">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F01C7E">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E7DEC">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D0084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2BDEB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C16F2">
            <w:pPr>
              <w:jc w:val="center"/>
            </w:pPr>
            <w:r>
              <w:rPr>
                <w:rFonts w:ascii="宋体" w:hAnsi="宋体" w:eastAsia="宋体"/>
                <w:sz w:val="16"/>
              </w:rPr>
              <w:t>正式材料,原始凭证,说明材料,工作资料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E56B8">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23267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7C08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6F1C82">
            <w:pPr>
              <w:jc w:val="center"/>
            </w:pPr>
          </w:p>
        </w:tc>
      </w:tr>
      <w:tr w14:paraId="3716AE4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2DB9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B557C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1376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DE2BAB">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14132">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3D043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DEFF2">
            <w:pPr>
              <w:jc w:val="center"/>
            </w:pPr>
            <w:r>
              <w:rPr>
                <w:rFonts w:ascii="宋体" w:hAnsi="宋体" w:eastAsia="宋体"/>
                <w:sz w:val="16"/>
              </w:rPr>
              <w:t>2023年12月15日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95D1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419E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080FC4">
            <w:pPr>
              <w:jc w:val="center"/>
            </w:pPr>
            <w:r>
              <w:rPr>
                <w:rFonts w:ascii="宋体" w:hAnsi="宋体" w:eastAsia="宋体"/>
                <w:sz w:val="16"/>
              </w:rPr>
              <w:t>说明材料,工作资料,原始凭证,正式材料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787DDD">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75908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F6EA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C5BFA">
            <w:pPr>
              <w:jc w:val="center"/>
            </w:pPr>
          </w:p>
        </w:tc>
      </w:tr>
      <w:tr w14:paraId="1B626E0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EB96F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EDFE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FFC4C5">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EA3CC">
            <w:pPr>
              <w:jc w:val="center"/>
            </w:pPr>
            <w:r>
              <w:rPr>
                <w:rFonts w:ascii="宋体" w:hAnsi="宋体" w:eastAsia="宋体"/>
                <w:sz w:val="16"/>
              </w:rPr>
              <w:t>节日文化活动项目演出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90CAF">
            <w:pPr>
              <w:jc w:val="center"/>
            </w:pPr>
            <w:r>
              <w:rPr>
                <w:rFonts w:ascii="宋体" w:hAnsi="宋体" w:eastAsia="宋体"/>
                <w:sz w:val="16"/>
              </w:rPr>
              <w:t>&lt;=3.75万元/场次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57A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5D5E5">
            <w:pPr>
              <w:jc w:val="center"/>
            </w:pPr>
            <w:r>
              <w:rPr>
                <w:rFonts w:ascii="宋体" w:hAnsi="宋体" w:eastAsia="宋体"/>
                <w:sz w:val="16"/>
              </w:rPr>
              <w:t>3.75万元/场次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48E52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60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0F35">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1F590">
            <w:pPr>
              <w:jc w:val="center"/>
            </w:pPr>
            <w:r>
              <w:rPr>
                <w:rFonts w:ascii="宋体" w:hAnsi="宋体" w:eastAsia="宋体"/>
                <w:sz w:val="16"/>
              </w:rPr>
              <w:t>=3.75万元/场次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C82C0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00AE82">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509C25">
            <w:pPr>
              <w:jc w:val="center"/>
            </w:pPr>
          </w:p>
        </w:tc>
      </w:tr>
      <w:tr w14:paraId="3B521F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79989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C0C262A">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A048A">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A82889">
            <w:pPr>
              <w:jc w:val="center"/>
            </w:pPr>
            <w:r>
              <w:rPr>
                <w:rFonts w:ascii="宋体" w:hAnsi="宋体" w:eastAsia="宋体"/>
                <w:sz w:val="16"/>
              </w:rPr>
              <w:t>促进民族文化交流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CADC57">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640CE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D6BF75">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32BCB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5FE7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4E9EE8">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477826">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6C231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3809D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FC2E8">
            <w:pPr>
              <w:jc w:val="center"/>
            </w:pPr>
          </w:p>
        </w:tc>
      </w:tr>
      <w:tr w14:paraId="31350F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5A48210"/>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24030E"/>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1C5657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C03413">
            <w:pPr>
              <w:jc w:val="center"/>
            </w:pPr>
            <w:r>
              <w:rPr>
                <w:rFonts w:ascii="宋体" w:hAnsi="宋体" w:eastAsia="宋体"/>
                <w:sz w:val="16"/>
              </w:rPr>
              <w:t>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AF0C4">
            <w:pPr>
              <w:jc w:val="center"/>
            </w:pPr>
            <w:r>
              <w:rPr>
                <w:rFonts w:ascii="宋体" w:hAnsi="宋体" w:eastAsia="宋体"/>
                <w:sz w:val="16"/>
              </w:rPr>
              <w:t>&gt;=75%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DBCF1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D674E8">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E860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C977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660EA0">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F62AF4">
            <w:pPr>
              <w:jc w:val="center"/>
            </w:pPr>
            <w:r>
              <w:rPr>
                <w:rFonts w:ascii="宋体" w:hAnsi="宋体" w:eastAsia="宋体"/>
                <w:sz w:val="16"/>
              </w:rPr>
              <w:t>=75%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27053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0C0C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47575">
            <w:pPr>
              <w:jc w:val="center"/>
            </w:pPr>
          </w:p>
        </w:tc>
      </w:tr>
      <w:tr w14:paraId="3ED586E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7DC29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220D23">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EA8A77">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EE417F">
            <w:pPr>
              <w:jc w:val="center"/>
            </w:pPr>
            <w:r>
              <w:rPr>
                <w:rFonts w:ascii="宋体" w:hAnsi="宋体" w:eastAsia="宋体"/>
                <w:sz w:val="16"/>
              </w:rPr>
              <w:t>观看群众满意度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B856B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03B6">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FA8AC1">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F7302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79C20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1C1DE">
            <w:pPr>
              <w:jc w:val="center"/>
            </w:pPr>
            <w:r>
              <w:rPr>
                <w:rFonts w:ascii="宋体" w:hAnsi="宋体" w:eastAsia="宋体"/>
                <w:sz w:val="16"/>
              </w:rPr>
              <w:t>工作资料,说明材料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E90D80">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B10C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722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CD7745">
            <w:pPr>
              <w:jc w:val="center"/>
            </w:pPr>
          </w:p>
        </w:tc>
      </w:tr>
      <w:tr w14:paraId="5AA4D44D">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1E733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9C2BFC0"/>
        </w:tc>
        <w:tc>
          <w:tcPr>
            <w:tcW w:w="632" w:type="dxa"/>
            <w:tcBorders>
              <w:top w:val="single" w:color="auto" w:sz="10" w:space="0"/>
              <w:left w:val="single" w:color="auto" w:sz="10" w:space="0"/>
              <w:bottom w:val="single" w:color="auto" w:sz="10" w:space="0"/>
              <w:right w:val="single" w:color="auto" w:sz="10" w:space="0"/>
              <w:insideV w:val="single" w:sz="10" w:space="0"/>
            </w:tcBorders>
          </w:tcPr>
          <w:p w14:paraId="5023EA3C"/>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8E22D1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13F8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0149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74155A5"/>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DCCEEAB"/>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C42A5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E798A7">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FF3EB3A"/>
        </w:tc>
      </w:tr>
    </w:tbl>
    <w:p w14:paraId="3B6DBE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96"/>
        <w:gridCol w:w="632"/>
      </w:tblGrid>
      <w:tr w14:paraId="55E2D14A">
        <w:tblPrEx>
          <w:tblCellMar>
            <w:top w:w="0" w:type="dxa"/>
            <w:left w:w="108" w:type="dxa"/>
            <w:bottom w:w="0" w:type="dxa"/>
            <w:right w:w="108" w:type="dxa"/>
          </w:tblCellMar>
        </w:tblPrEx>
        <w:tc>
          <w:tcPr>
            <w:tcW w:w="8848" w:type="dxa"/>
            <w:gridSpan w:val="14"/>
            <w:vAlign w:val="center"/>
          </w:tcPr>
          <w:p w14:paraId="735A5A50">
            <w:pPr>
              <w:jc w:val="center"/>
            </w:pPr>
            <w:r>
              <w:rPr>
                <w:rFonts w:ascii="宋体" w:hAnsi="宋体" w:eastAsia="宋体"/>
                <w:sz w:val="24"/>
              </w:rPr>
              <w:t>项目支出绩效自评表</w:t>
            </w:r>
          </w:p>
        </w:tc>
      </w:tr>
      <w:tr w14:paraId="3A1A6C35">
        <w:tblPrEx>
          <w:tblCellMar>
            <w:top w:w="0" w:type="dxa"/>
            <w:left w:w="108" w:type="dxa"/>
            <w:bottom w:w="0" w:type="dxa"/>
            <w:right w:w="108" w:type="dxa"/>
          </w:tblCellMar>
        </w:tblPrEx>
        <w:tc>
          <w:tcPr>
            <w:tcW w:w="8848" w:type="dxa"/>
            <w:gridSpan w:val="14"/>
            <w:vAlign w:val="center"/>
          </w:tcPr>
          <w:p w14:paraId="33C20530">
            <w:pPr>
              <w:jc w:val="center"/>
            </w:pPr>
            <w:r>
              <w:rPr>
                <w:rFonts w:ascii="宋体" w:hAnsi="宋体" w:eastAsia="宋体"/>
                <w:sz w:val="24"/>
              </w:rPr>
              <w:t>(2024年度)</w:t>
            </w:r>
          </w:p>
        </w:tc>
      </w:tr>
      <w:tr w14:paraId="13DA092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467C8">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26F0342">
            <w:pPr>
              <w:jc w:val="center"/>
            </w:pPr>
            <w:r>
              <w:rPr>
                <w:rFonts w:ascii="宋体" w:hAnsi="宋体" w:eastAsia="宋体"/>
                <w:sz w:val="16"/>
              </w:rPr>
              <w:t>2024年单位资金-社火活动捐赠收入</w:t>
            </w:r>
          </w:p>
        </w:tc>
      </w:tr>
      <w:tr w14:paraId="4609A261">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6BF8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AE1EBCB">
            <w:pPr>
              <w:jc w:val="center"/>
            </w:pPr>
            <w:r>
              <w:rPr>
                <w:rFonts w:ascii="宋体" w:hAnsi="宋体" w:eastAsia="宋体"/>
                <w:sz w:val="16"/>
              </w:rPr>
              <w:t>托里县歌舞团</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98E7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2DA0DF89">
            <w:pPr>
              <w:jc w:val="center"/>
            </w:pPr>
            <w:r>
              <w:rPr>
                <w:rFonts w:ascii="宋体" w:hAnsi="宋体" w:eastAsia="宋体"/>
                <w:sz w:val="16"/>
              </w:rPr>
              <w:t>托里县歌舞团</w:t>
            </w:r>
          </w:p>
        </w:tc>
      </w:tr>
      <w:tr w14:paraId="0BA7922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E2173B">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3852C4">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07289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D4D517">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6A5443">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7AB35">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990CA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1D899">
            <w:pPr>
              <w:jc w:val="center"/>
            </w:pPr>
            <w:r>
              <w:rPr>
                <w:rFonts w:ascii="宋体" w:hAnsi="宋体" w:eastAsia="宋体"/>
                <w:sz w:val="16"/>
              </w:rPr>
              <w:t>得分</w:t>
            </w:r>
          </w:p>
        </w:tc>
      </w:tr>
      <w:tr w14:paraId="702A6CB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B34C1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2AB0E6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16772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6D14AF">
            <w:pPr>
              <w:jc w:val="center"/>
            </w:pPr>
            <w:r>
              <w:rPr>
                <w:rFonts w:ascii="宋体" w:hAnsi="宋体" w:eastAsia="宋体"/>
                <w:sz w:val="16"/>
              </w:rPr>
              <w:t>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685A86">
            <w:pPr>
              <w:jc w:val="center"/>
            </w:pPr>
            <w:r>
              <w:rPr>
                <w:rFonts w:ascii="宋体" w:hAnsi="宋体" w:eastAsia="宋体"/>
                <w:sz w:val="16"/>
              </w:rPr>
              <w:t>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311D4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6B30BC">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DA75DE">
            <w:pPr>
              <w:jc w:val="center"/>
            </w:pPr>
            <w:r>
              <w:rPr>
                <w:rFonts w:ascii="宋体" w:hAnsi="宋体" w:eastAsia="宋体"/>
                <w:sz w:val="16"/>
              </w:rPr>
              <w:t>10.00</w:t>
            </w:r>
          </w:p>
        </w:tc>
      </w:tr>
      <w:tr w14:paraId="7F32CC8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45B2C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86DD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7EDE9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8AA4C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46703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C4C59C">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8CB563">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85951F">
            <w:pPr>
              <w:jc w:val="center"/>
            </w:pPr>
            <w:r>
              <w:rPr>
                <w:rFonts w:ascii="宋体" w:hAnsi="宋体" w:eastAsia="宋体"/>
                <w:sz w:val="16"/>
              </w:rPr>
              <w:t>—</w:t>
            </w:r>
          </w:p>
        </w:tc>
      </w:tr>
      <w:tr w14:paraId="5706954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D0261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B3AFC9">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2875189">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777277">
            <w:pPr>
              <w:jc w:val="center"/>
            </w:pPr>
            <w:r>
              <w:rPr>
                <w:rFonts w:ascii="宋体" w:hAnsi="宋体" w:eastAsia="宋体"/>
                <w:sz w:val="16"/>
              </w:rPr>
              <w:t>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14EA65">
            <w:pPr>
              <w:jc w:val="center"/>
            </w:pPr>
            <w:r>
              <w:rPr>
                <w:rFonts w:ascii="宋体" w:hAnsi="宋体" w:eastAsia="宋体"/>
                <w:sz w:val="16"/>
              </w:rPr>
              <w:t>1.90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16AB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F58E4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B6DC69">
            <w:pPr>
              <w:jc w:val="center"/>
            </w:pPr>
            <w:r>
              <w:rPr>
                <w:rFonts w:ascii="宋体" w:hAnsi="宋体" w:eastAsia="宋体"/>
                <w:sz w:val="16"/>
              </w:rPr>
              <w:t>—</w:t>
            </w:r>
          </w:p>
        </w:tc>
      </w:tr>
      <w:tr w14:paraId="590B4A4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67BC95">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FEFFB1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48FF89">
            <w:pPr>
              <w:jc w:val="center"/>
            </w:pPr>
            <w:r>
              <w:rPr>
                <w:rFonts w:ascii="宋体" w:hAnsi="宋体" w:eastAsia="宋体"/>
                <w:sz w:val="16"/>
              </w:rPr>
              <w:t>实际完成情况</w:t>
            </w:r>
          </w:p>
        </w:tc>
      </w:tr>
      <w:tr w14:paraId="038C213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833F307"/>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500775F">
            <w:pPr>
              <w:jc w:val="both"/>
            </w:pPr>
            <w:r>
              <w:rPr>
                <w:rFonts w:ascii="宋体" w:hAnsi="宋体" w:eastAsia="宋体"/>
                <w:sz w:val="16"/>
              </w:rPr>
              <w:t>项目资金1.</w:t>
            </w:r>
            <w:r>
              <w:rPr>
                <w:rFonts w:hint="eastAsia" w:ascii="宋体" w:hAnsi="宋体"/>
                <w:sz w:val="16"/>
                <w:lang w:val="en-US" w:eastAsia="zh-CN"/>
              </w:rPr>
              <w:t>9</w:t>
            </w:r>
            <w:bookmarkStart w:id="0" w:name="_GoBack"/>
            <w:bookmarkEnd w:id="0"/>
            <w:r>
              <w:rPr>
                <w:rFonts w:ascii="宋体" w:hAnsi="宋体" w:eastAsia="宋体"/>
                <w:sz w:val="16"/>
              </w:rPr>
              <w:t>万元，用于社火捐赠1次，为满足各族群众文化活动需要，提高文化文艺覆盖面影响力，促进民族文化交流，使传统节日得到传承。满意度达到75%。</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280EB9F">
            <w:pPr>
              <w:jc w:val="both"/>
            </w:pPr>
            <w:r>
              <w:rPr>
                <w:rFonts w:ascii="宋体" w:hAnsi="宋体" w:eastAsia="宋体"/>
                <w:sz w:val="16"/>
              </w:rPr>
              <w:t>项目资金1.</w:t>
            </w:r>
            <w:r>
              <w:rPr>
                <w:rFonts w:hint="eastAsia" w:ascii="宋体" w:hAnsi="宋体"/>
                <w:sz w:val="16"/>
                <w:lang w:val="en-US" w:eastAsia="zh-CN"/>
              </w:rPr>
              <w:t>9</w:t>
            </w:r>
            <w:r>
              <w:rPr>
                <w:rFonts w:ascii="宋体" w:hAnsi="宋体" w:eastAsia="宋体"/>
                <w:sz w:val="16"/>
              </w:rPr>
              <w:t>万元，用于社火道具费用1万元，社火活动费用0.</w:t>
            </w:r>
            <w:r>
              <w:rPr>
                <w:rFonts w:hint="eastAsia" w:ascii="宋体" w:hAnsi="宋体"/>
                <w:sz w:val="16"/>
                <w:lang w:val="en-US" w:eastAsia="zh-CN"/>
              </w:rPr>
              <w:t>9</w:t>
            </w:r>
            <w:r>
              <w:rPr>
                <w:rFonts w:ascii="宋体" w:hAnsi="宋体" w:eastAsia="宋体"/>
                <w:sz w:val="16"/>
              </w:rPr>
              <w:t>万元，为满足各族群众文化活动需要，提高文化文艺覆盖面影响力，促进民族文化交流，使传统节日得到传承。</w:t>
            </w:r>
          </w:p>
        </w:tc>
      </w:tr>
      <w:tr w14:paraId="5CDFC65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9CE9F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1FC2F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01CA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DF640">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ACBA1">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DCD172">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708126">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1236DC">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6F42B">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03E627">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1F799">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7D33A">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4AC1DA">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BA71B1">
            <w:pPr>
              <w:jc w:val="center"/>
            </w:pPr>
            <w:r>
              <w:rPr>
                <w:rFonts w:ascii="宋体" w:hAnsi="宋体" w:eastAsia="宋体"/>
                <w:sz w:val="16"/>
              </w:rPr>
              <w:t>偏差原因分析及改进措施</w:t>
            </w:r>
          </w:p>
        </w:tc>
      </w:tr>
      <w:tr w14:paraId="4BC153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E0C9CB1">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0D77E9">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65361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C8D10B">
            <w:pPr>
              <w:jc w:val="center"/>
            </w:pPr>
            <w:r>
              <w:rPr>
                <w:rFonts w:ascii="宋体" w:hAnsi="宋体" w:eastAsia="宋体"/>
                <w:sz w:val="16"/>
              </w:rPr>
              <w:t>社火捐赠次数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B40694">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9EAC5F">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A0434C">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8E43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1E9C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2899DB">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6CFE3B">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02F7A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24BE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D48095">
            <w:pPr>
              <w:jc w:val="center"/>
            </w:pPr>
          </w:p>
        </w:tc>
      </w:tr>
      <w:tr w14:paraId="23706BA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1572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CECB6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A920DF">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E56EF5">
            <w:pPr>
              <w:jc w:val="center"/>
            </w:pPr>
            <w:r>
              <w:rPr>
                <w:rFonts w:ascii="宋体" w:hAnsi="宋体" w:eastAsia="宋体"/>
                <w:sz w:val="16"/>
              </w:rPr>
              <w:t>社火活动覆盖率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49DFFD">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65FFD4">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E50ED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EAC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7FEF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D83E6E">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C7343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32950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8F02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F7B6ED">
            <w:pPr>
              <w:jc w:val="center"/>
            </w:pPr>
          </w:p>
        </w:tc>
      </w:tr>
      <w:tr w14:paraId="39E9C6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A6FA8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4E133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72640F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59F6EC">
            <w:pPr>
              <w:jc w:val="center"/>
            </w:pPr>
            <w:r>
              <w:rPr>
                <w:rFonts w:ascii="宋体" w:hAnsi="宋体" w:eastAsia="宋体"/>
                <w:sz w:val="16"/>
              </w:rPr>
              <w:t>群众知晓率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893FC">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501C38">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FAF019">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3869F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81C5F4">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93E334">
            <w:pPr>
              <w:jc w:val="center"/>
            </w:pPr>
            <w:r>
              <w:rPr>
                <w:rFonts w:ascii="宋体" w:hAnsi="宋体" w:eastAsia="宋体"/>
                <w:sz w:val="16"/>
              </w:rPr>
              <w:t>工作资料,正式材料,原始凭证,说明材料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43AC65">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7B58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CF147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678EAC">
            <w:pPr>
              <w:jc w:val="center"/>
            </w:pPr>
          </w:p>
        </w:tc>
      </w:tr>
      <w:tr w14:paraId="31D32C4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8B43A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8BAF7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DCDE6">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88803">
            <w:pPr>
              <w:jc w:val="center"/>
            </w:pPr>
            <w:r>
              <w:rPr>
                <w:rFonts w:ascii="宋体" w:hAnsi="宋体" w:eastAsia="宋体"/>
                <w:sz w:val="16"/>
              </w:rPr>
              <w:t>完成时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8434F9">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7784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72A09">
            <w:pPr>
              <w:jc w:val="center"/>
            </w:pPr>
            <w:r>
              <w:rPr>
                <w:rFonts w:ascii="宋体" w:hAnsi="宋体" w:eastAsia="宋体"/>
                <w:sz w:val="16"/>
              </w:rPr>
              <w:t>2023年12月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8AE4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EA4E0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EE7F0">
            <w:pPr>
              <w:jc w:val="center"/>
            </w:pPr>
            <w:r>
              <w:rPr>
                <w:rFonts w:ascii="宋体" w:hAnsi="宋体" w:eastAsia="宋体"/>
                <w:sz w:val="16"/>
              </w:rPr>
              <w:t>说明材料,正式材料,工作资料,原始凭证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00597D">
            <w:pPr>
              <w:jc w:val="center"/>
            </w:pPr>
            <w:r>
              <w:rPr>
                <w:rFonts w:ascii="宋体" w:hAnsi="宋体" w:eastAsia="宋体"/>
                <w:sz w:val="16"/>
              </w:rPr>
              <w:t>=2024年12月28日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AF8B7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24F8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70026">
            <w:pPr>
              <w:jc w:val="center"/>
            </w:pPr>
          </w:p>
        </w:tc>
      </w:tr>
      <w:tr w14:paraId="3AA92D5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F9AE4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90CAF01">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1AA8A4">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82419C">
            <w:pPr>
              <w:jc w:val="center"/>
            </w:pPr>
            <w:r>
              <w:rPr>
                <w:rFonts w:ascii="宋体" w:hAnsi="宋体" w:eastAsia="宋体"/>
                <w:sz w:val="16"/>
              </w:rPr>
              <w:t>社火道具费用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1B45E4">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37662">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C86F95">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023A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88474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6E88D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3F1B73">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04D40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4069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E9A262">
            <w:pPr>
              <w:jc w:val="center"/>
            </w:pPr>
          </w:p>
        </w:tc>
      </w:tr>
      <w:tr w14:paraId="5BA255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190264"/>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508FC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E95521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74018">
            <w:pPr>
              <w:jc w:val="center"/>
            </w:pPr>
            <w:r>
              <w:rPr>
                <w:rFonts w:ascii="宋体" w:hAnsi="宋体" w:eastAsia="宋体"/>
                <w:sz w:val="16"/>
              </w:rPr>
              <w:t>社火活动费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C3D715">
            <w:pPr>
              <w:jc w:val="center"/>
            </w:pPr>
            <w:r>
              <w:rPr>
                <w:rFonts w:ascii="宋体" w:hAnsi="宋体" w:eastAsia="宋体"/>
                <w:sz w:val="16"/>
              </w:rPr>
              <w:t>&lt;=0.9万元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58605">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81C872">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232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20A57">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44C881">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76568F">
            <w:pPr>
              <w:jc w:val="center"/>
            </w:pPr>
            <w:r>
              <w:rPr>
                <w:rFonts w:ascii="宋体" w:hAnsi="宋体" w:eastAsia="宋体"/>
                <w:sz w:val="16"/>
              </w:rPr>
              <w:t>=0.9万元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DC19F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6B6B6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4DF19F">
            <w:pPr>
              <w:jc w:val="center"/>
            </w:pPr>
          </w:p>
        </w:tc>
      </w:tr>
      <w:tr w14:paraId="02C6FBD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84859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E26697">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4833C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80A12">
            <w:pPr>
              <w:jc w:val="center"/>
            </w:pPr>
            <w:r>
              <w:rPr>
                <w:rFonts w:ascii="宋体" w:hAnsi="宋体" w:eastAsia="宋体"/>
                <w:sz w:val="16"/>
              </w:rPr>
              <w:t>提高各族群众科学文化素质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6E24F8">
            <w:pPr>
              <w:jc w:val="center"/>
            </w:pPr>
            <w:r>
              <w:rPr>
                <w:rFonts w:ascii="宋体" w:hAnsi="宋体" w:eastAsia="宋体"/>
                <w:sz w:val="16"/>
              </w:rPr>
              <w:t>有效提高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E0520">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419770">
            <w:pPr>
              <w:jc w:val="center"/>
            </w:pPr>
            <w:r>
              <w:rPr>
                <w:rFonts w:ascii="宋体" w:hAnsi="宋体" w:eastAsia="宋体"/>
                <w:sz w:val="16"/>
              </w:rPr>
              <w:t>基本达成目标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1892F">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C6DBD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45A0E">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C73464">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BD831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09DDA1">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0F4185">
            <w:pPr>
              <w:jc w:val="center"/>
            </w:pPr>
          </w:p>
        </w:tc>
      </w:tr>
      <w:tr w14:paraId="2B5536C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4253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0161C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884BB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68A33">
            <w:pPr>
              <w:jc w:val="center"/>
            </w:pPr>
            <w:r>
              <w:rPr>
                <w:rFonts w:ascii="宋体" w:hAnsi="宋体" w:eastAsia="宋体"/>
                <w:sz w:val="16"/>
              </w:rPr>
              <w:t>观看群众满意度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0F0B43">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B98361">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2A03AC">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77A56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7800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1AAC3F">
            <w:pPr>
              <w:jc w:val="center"/>
            </w:pPr>
            <w:r>
              <w:rPr>
                <w:rFonts w:ascii="宋体" w:hAnsi="宋体" w:eastAsia="宋体"/>
                <w:sz w:val="16"/>
              </w:rPr>
              <w:t>说明材料,工作资料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1D85EB">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F302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61D01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32D2D3">
            <w:pPr>
              <w:jc w:val="center"/>
            </w:pPr>
          </w:p>
        </w:tc>
      </w:tr>
      <w:tr w14:paraId="0CBEAC36">
        <w:tblPrEx>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093978B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2A599D6"/>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993CF62"/>
        </w:tc>
        <w:tc>
          <w:tcPr>
            <w:tcW w:w="632" w:type="dxa"/>
            <w:tcBorders>
              <w:top w:val="single" w:color="auto" w:sz="10" w:space="0"/>
              <w:left w:val="single" w:color="auto" w:sz="10" w:space="0"/>
              <w:bottom w:val="single" w:color="auto" w:sz="10" w:space="0"/>
              <w:right w:val="single" w:color="auto" w:sz="10" w:space="0"/>
              <w:insideV w:val="single" w:sz="10" w:space="0"/>
            </w:tcBorders>
          </w:tcPr>
          <w:p w14:paraId="6109B7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56DE4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36D0F0C7"/>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E42AAAE"/>
        </w:tc>
        <w:tc>
          <w:tcPr>
            <w:tcW w:w="632" w:type="dxa"/>
            <w:tcBorders>
              <w:top w:val="single" w:color="auto" w:sz="10" w:space="0"/>
              <w:left w:val="single" w:color="auto" w:sz="10" w:space="0"/>
              <w:bottom w:val="single" w:color="auto" w:sz="10" w:space="0"/>
              <w:right w:val="single" w:color="auto" w:sz="10" w:space="0"/>
              <w:insideV w:val="single" w:sz="10" w:space="0"/>
            </w:tcBorders>
          </w:tcPr>
          <w:p w14:paraId="7491276F"/>
        </w:tc>
        <w:tc>
          <w:tcPr>
            <w:tcW w:w="632" w:type="dxa"/>
            <w:tcBorders>
              <w:top w:val="single" w:color="auto" w:sz="10" w:space="0"/>
              <w:left w:val="single" w:color="auto" w:sz="10" w:space="0"/>
              <w:bottom w:val="single" w:color="auto" w:sz="10" w:space="0"/>
              <w:right w:val="single" w:color="auto" w:sz="10" w:space="0"/>
              <w:insideV w:val="single" w:sz="10" w:space="0"/>
            </w:tcBorders>
          </w:tcPr>
          <w:p w14:paraId="05199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0E1F4">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14:paraId="127DB3B0"/>
        </w:tc>
      </w:tr>
    </w:tbl>
    <w:p w14:paraId="7B036588">
      <w:r>
        <w:br w:type="page"/>
      </w:r>
    </w:p>
    <w:p w14:paraId="4146CD92">
      <w:pPr>
        <w:spacing w:line="640" w:lineRule="exact"/>
        <w:ind w:firstLine="640"/>
        <w:jc w:val="both"/>
        <w:outlineLvl w:val="2"/>
      </w:pPr>
      <w:r>
        <w:rPr>
          <w:rFonts w:ascii="黑体" w:hAnsi="黑体" w:eastAsia="黑体"/>
          <w:sz w:val="32"/>
        </w:rPr>
        <w:t>十二、其他需说明的事项</w:t>
      </w:r>
    </w:p>
    <w:p w14:paraId="6A58796B">
      <w:pPr>
        <w:spacing w:line="580" w:lineRule="exact"/>
        <w:ind w:firstLine="640"/>
        <w:jc w:val="both"/>
      </w:pPr>
      <w:r>
        <w:rPr>
          <w:rFonts w:ascii="仿宋_GB2312" w:hAnsi="仿宋_GB2312" w:eastAsia="仿宋_GB2312"/>
          <w:b w:val="0"/>
          <w:sz w:val="32"/>
        </w:rPr>
        <w:t>本单位2024年度无政府采购支出，授予中小企业合同金额0.00万元。</w:t>
      </w:r>
    </w:p>
    <w:p w14:paraId="68E80393">
      <w:r>
        <w:br w:type="page"/>
      </w:r>
    </w:p>
    <w:p w14:paraId="61AFB68F">
      <w:pPr>
        <w:spacing w:line="240" w:lineRule="auto"/>
        <w:jc w:val="center"/>
        <w:outlineLvl w:val="1"/>
      </w:pPr>
      <w:r>
        <w:rPr>
          <w:rFonts w:ascii="黑体" w:hAnsi="黑体" w:eastAsia="黑体"/>
          <w:sz w:val="32"/>
        </w:rPr>
        <w:t>第三部分 专业名词解释</w:t>
      </w:r>
    </w:p>
    <w:p w14:paraId="0B6CD7F1">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046845EB">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67A9F98">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00E2C1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6C6CAFB1">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5B4D995">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2AB43C08">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2637F8C2">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5C53D7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7B76D2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0050C33">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12F9D693">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46175D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F8D78D1">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0F120D33">
      <w:r>
        <w:br w:type="page"/>
      </w:r>
    </w:p>
    <w:p w14:paraId="49AD2546">
      <w:pPr>
        <w:spacing w:line="240" w:lineRule="auto"/>
        <w:jc w:val="center"/>
        <w:outlineLvl w:val="1"/>
      </w:pPr>
      <w:r>
        <w:rPr>
          <w:rFonts w:ascii="黑体" w:hAnsi="黑体" w:eastAsia="黑体"/>
          <w:sz w:val="32"/>
        </w:rPr>
        <w:t>第四部分 部门决算报表（见附表）</w:t>
      </w:r>
    </w:p>
    <w:p w14:paraId="39D552B1">
      <w:pPr>
        <w:spacing w:line="240" w:lineRule="auto"/>
        <w:ind w:firstLine="640"/>
        <w:jc w:val="both"/>
      </w:pPr>
      <w:r>
        <w:rPr>
          <w:rFonts w:ascii="仿宋_GB2312" w:hAnsi="仿宋_GB2312" w:eastAsia="仿宋_GB2312"/>
          <w:b w:val="0"/>
          <w:sz w:val="32"/>
        </w:rPr>
        <w:t>一、《收入支出决算总表》</w:t>
      </w:r>
    </w:p>
    <w:p w14:paraId="7FCC15E7">
      <w:pPr>
        <w:spacing w:line="240" w:lineRule="auto"/>
        <w:ind w:firstLine="640"/>
        <w:jc w:val="both"/>
      </w:pPr>
      <w:r>
        <w:rPr>
          <w:rFonts w:ascii="仿宋_GB2312" w:hAnsi="仿宋_GB2312" w:eastAsia="仿宋_GB2312"/>
          <w:b w:val="0"/>
          <w:sz w:val="32"/>
        </w:rPr>
        <w:t>二、《收入决算表》</w:t>
      </w:r>
    </w:p>
    <w:p w14:paraId="5AD629C4">
      <w:pPr>
        <w:spacing w:line="240" w:lineRule="auto"/>
        <w:ind w:firstLine="640"/>
        <w:jc w:val="both"/>
      </w:pPr>
      <w:r>
        <w:rPr>
          <w:rFonts w:ascii="仿宋_GB2312" w:hAnsi="仿宋_GB2312" w:eastAsia="仿宋_GB2312"/>
          <w:b w:val="0"/>
          <w:sz w:val="32"/>
        </w:rPr>
        <w:t>三、《支出决算表》</w:t>
      </w:r>
    </w:p>
    <w:p w14:paraId="571596CE">
      <w:pPr>
        <w:spacing w:line="240" w:lineRule="auto"/>
        <w:ind w:firstLine="640"/>
        <w:jc w:val="both"/>
      </w:pPr>
      <w:r>
        <w:rPr>
          <w:rFonts w:ascii="仿宋_GB2312" w:hAnsi="仿宋_GB2312" w:eastAsia="仿宋_GB2312"/>
          <w:b w:val="0"/>
          <w:sz w:val="32"/>
        </w:rPr>
        <w:t>四、《财政拨款收入支出决算总表》</w:t>
      </w:r>
    </w:p>
    <w:p w14:paraId="2F95AED5">
      <w:pPr>
        <w:spacing w:line="240" w:lineRule="auto"/>
        <w:ind w:firstLine="640"/>
        <w:jc w:val="both"/>
      </w:pPr>
      <w:r>
        <w:rPr>
          <w:rFonts w:ascii="仿宋_GB2312" w:hAnsi="仿宋_GB2312" w:eastAsia="仿宋_GB2312"/>
          <w:b w:val="0"/>
          <w:sz w:val="32"/>
        </w:rPr>
        <w:t>五、《一般公共预算财政拨款支出决算表》</w:t>
      </w:r>
    </w:p>
    <w:p w14:paraId="4554C4F1">
      <w:pPr>
        <w:spacing w:line="240" w:lineRule="auto"/>
        <w:ind w:firstLine="640"/>
        <w:jc w:val="both"/>
      </w:pPr>
      <w:r>
        <w:rPr>
          <w:rFonts w:ascii="仿宋_GB2312" w:hAnsi="仿宋_GB2312" w:eastAsia="仿宋_GB2312"/>
          <w:b w:val="0"/>
          <w:sz w:val="32"/>
        </w:rPr>
        <w:t>六、《一般公共预算财政拨款基本支出决算表》</w:t>
      </w:r>
    </w:p>
    <w:p w14:paraId="3D0782AC">
      <w:pPr>
        <w:spacing w:line="240" w:lineRule="auto"/>
        <w:ind w:firstLine="640"/>
        <w:jc w:val="both"/>
      </w:pPr>
      <w:r>
        <w:rPr>
          <w:rFonts w:ascii="仿宋_GB2312" w:hAnsi="仿宋_GB2312" w:eastAsia="仿宋_GB2312"/>
          <w:b w:val="0"/>
          <w:sz w:val="32"/>
        </w:rPr>
        <w:t>七、《政府性基金预算财政拨款收入支出决算表》</w:t>
      </w:r>
    </w:p>
    <w:p w14:paraId="7F13A673">
      <w:pPr>
        <w:spacing w:line="240" w:lineRule="auto"/>
        <w:ind w:firstLine="640"/>
        <w:jc w:val="both"/>
      </w:pPr>
      <w:r>
        <w:rPr>
          <w:rFonts w:ascii="仿宋_GB2312" w:hAnsi="仿宋_GB2312" w:eastAsia="仿宋_GB2312"/>
          <w:b w:val="0"/>
          <w:sz w:val="32"/>
        </w:rPr>
        <w:t>八、《国有资本经营预算财政拨款收入支出决算表》</w:t>
      </w:r>
    </w:p>
    <w:p w14:paraId="2CF20805">
      <w:pPr>
        <w:spacing w:line="240" w:lineRule="auto"/>
        <w:ind w:firstLine="640"/>
        <w:jc w:val="both"/>
      </w:pPr>
      <w:r>
        <w:rPr>
          <w:rFonts w:ascii="仿宋_GB2312" w:hAnsi="仿宋_GB2312" w:eastAsia="仿宋_GB2312"/>
          <w:b w:val="0"/>
          <w:sz w:val="32"/>
        </w:rPr>
        <w:t>九、《财政拨款“三公”经费支出决算表》</w:t>
      </w:r>
    </w:p>
    <w:p w14:paraId="7EC4B01F">
      <w:pPr>
        <w:spacing w:line="240" w:lineRule="auto"/>
        <w:ind w:firstLine="640"/>
        <w:jc w:val="both"/>
      </w:pPr>
    </w:p>
    <w:p w14:paraId="7B500462">
      <w:pPr>
        <w:spacing w:line="240" w:lineRule="auto"/>
        <w:ind w:firstLine="640"/>
        <w:jc w:val="both"/>
      </w:pPr>
    </w:p>
    <w:p w14:paraId="69E2B4E2">
      <w:pPr>
        <w:spacing w:line="240" w:lineRule="auto"/>
        <w:ind w:firstLine="640"/>
        <w:jc w:val="both"/>
      </w:pPr>
    </w:p>
    <w:p w14:paraId="1E765AAF">
      <w:pPr>
        <w:spacing w:line="240" w:lineRule="auto"/>
        <w:ind w:firstLine="640"/>
        <w:jc w:val="both"/>
      </w:pPr>
    </w:p>
    <w:p w14:paraId="43FBCE22">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WPSEMBED1">
    <w:panose1 w:val="02000000000000000000"/>
    <w:charset w:val="86"/>
    <w:family w:val="auto"/>
    <w:pitch w:val="default"/>
    <w:sig w:usb0="A00002BF" w:usb1="38CF7CFA" w:usb2="00082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3210C6F"/>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0A02F9"/>
    <w:rsid w:val="56E07045"/>
    <w:rsid w:val="583059FA"/>
    <w:rsid w:val="587E6212"/>
    <w:rsid w:val="5AFC6609"/>
    <w:rsid w:val="5FA17648"/>
    <w:rsid w:val="5FD320BD"/>
    <w:rsid w:val="60DE4D57"/>
    <w:rsid w:val="613409CB"/>
    <w:rsid w:val="61A46A97"/>
    <w:rsid w:val="62DD7D21"/>
    <w:rsid w:val="65D97752"/>
    <w:rsid w:val="664C500C"/>
    <w:rsid w:val="66C01AD7"/>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181E66"/>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4691</Words>
  <Characters>5411</Characters>
  <Lines>0</Lines>
  <Paragraphs>0</Paragraphs>
  <TotalTime>3</TotalTime>
  <ScaleCrop>false</ScaleCrop>
  <LinksUpToDate>false</LinksUpToDate>
  <CharactersWithSpaces>5419</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2025-10-31T10:37:32Z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B858A68E913346F885B5BC17D4DBEB06_13</vt:lpwstr>
  </property>
  <property fmtid="{D5CDD505-2E9C-101B-9397-08002B2CF9AE}" pid="4" name="KSOTemplateDocerSaveRecord">
    <vt:lpwstr>eyJoZGlkIjoiZWE5M2E4OTRkNmEwYTUyNjM2Mzg3NThiMTA5NmIzZWUiLCJ1c2VySWQiOiI0OTMxMTE3MjUifQ==</vt:lpwstr>
  </property>
</Properties>
</file>