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托里县档案馆2024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7FB6A40">
      <w:r>
        <w:br w:type="page"/>
      </w:r>
    </w:p>
    <w:p w14:paraId="492DBBD8">
      <w:pPr>
        <w:spacing w:line="640" w:lineRule="exact"/>
        <w:jc w:val="center"/>
        <w:outlineLvl w:val="1"/>
      </w:pPr>
      <w:r>
        <w:rPr>
          <w:rFonts w:ascii="黑体" w:hAnsi="黑体" w:eastAsia="黑体"/>
          <w:sz w:val="32"/>
        </w:rPr>
        <w:t>第一部分 单位概况</w:t>
      </w:r>
    </w:p>
    <w:p w14:paraId="721D6DB4">
      <w:pPr>
        <w:spacing w:line="640" w:lineRule="exact"/>
        <w:ind w:firstLine="640"/>
        <w:jc w:val="both"/>
        <w:outlineLvl w:val="2"/>
      </w:pPr>
      <w:r>
        <w:rPr>
          <w:rFonts w:ascii="黑体" w:hAnsi="黑体" w:eastAsia="黑体"/>
          <w:sz w:val="32"/>
        </w:rPr>
        <w:t>一、主要职能</w:t>
      </w:r>
    </w:p>
    <w:p w14:paraId="429AFF0B">
      <w:pPr>
        <w:spacing w:line="580" w:lineRule="exact"/>
        <w:ind w:firstLine="640"/>
        <w:jc w:val="both"/>
      </w:pPr>
      <w:r>
        <w:rPr>
          <w:rFonts w:ascii="仿宋_GB2312" w:hAnsi="仿宋_GB2312" w:eastAsia="仿宋_GB2312"/>
          <w:sz w:val="32"/>
        </w:rPr>
        <w:t>(1)依据党和国家、自治区关于档案工作的方针、政策、</w:t>
      </w:r>
      <w:r>
        <w:rPr>
          <w:rFonts w:hint="eastAsia" w:ascii="仿宋_GB2312" w:hAnsi="仿宋_GB2312" w:eastAsia="仿宋_GB2312"/>
          <w:sz w:val="32"/>
          <w:lang w:eastAsia="zh-CN"/>
        </w:rPr>
        <w:t>法律法规</w:t>
      </w:r>
      <w:r>
        <w:rPr>
          <w:rFonts w:ascii="仿宋_GB2312" w:hAnsi="仿宋_GB2312" w:eastAsia="仿宋_GB2312"/>
          <w:sz w:val="32"/>
        </w:rPr>
        <w:t>，对托里县的档案工作实行统筹规划、宏观管理；依法组织、指导、检查、监督、协调县党政机关、团体、企业事业单位和各乡、镇的档案业务工作。</w:t>
      </w:r>
    </w:p>
    <w:p w14:paraId="0234E7E1">
      <w:pPr>
        <w:spacing w:line="580" w:lineRule="exact"/>
        <w:ind w:firstLine="640"/>
        <w:jc w:val="both"/>
      </w:pPr>
      <w:r>
        <w:rPr>
          <w:rFonts w:ascii="仿宋_GB2312" w:hAnsi="仿宋_GB2312" w:eastAsia="仿宋_GB2312"/>
          <w:sz w:val="32"/>
        </w:rPr>
        <w:t>(2)集中统一管理县党政机关、团体、企业事业单位和其他组织的重要档案资料，维护档案的完整，确保档案的安全。</w:t>
      </w:r>
    </w:p>
    <w:p w14:paraId="7903C1DF">
      <w:pPr>
        <w:spacing w:line="580" w:lineRule="exact"/>
        <w:ind w:firstLine="640"/>
        <w:jc w:val="both"/>
      </w:pPr>
      <w:r>
        <w:rPr>
          <w:rFonts w:ascii="仿宋_GB2312" w:hAnsi="仿宋_GB2312" w:eastAsia="仿宋_GB2312"/>
          <w:sz w:val="32"/>
        </w:rPr>
        <w:t>(3)负责接收、收集、整理、保管和提供利用县党政机关的重要档案资料，做好</w:t>
      </w:r>
      <w:r>
        <w:rPr>
          <w:rFonts w:hint="eastAsia" w:ascii="仿宋_GB2312" w:hAnsi="仿宋_GB2312" w:eastAsia="仿宋_GB2312"/>
          <w:sz w:val="32"/>
          <w:lang w:eastAsia="zh-CN"/>
        </w:rPr>
        <w:t>各</w:t>
      </w:r>
      <w:r>
        <w:rPr>
          <w:rFonts w:ascii="仿宋_GB2312" w:hAnsi="仿宋_GB2312" w:eastAsia="仿宋_GB2312"/>
          <w:sz w:val="32"/>
        </w:rPr>
        <w:t>门类档案的科学化和现代化管理；负责档案信息的开发，为县经济建设和社会发展提供服务。</w:t>
      </w:r>
    </w:p>
    <w:p w14:paraId="485E1549">
      <w:pPr>
        <w:spacing w:line="580" w:lineRule="exact"/>
        <w:ind w:firstLine="640"/>
        <w:jc w:val="both"/>
      </w:pPr>
      <w:r>
        <w:rPr>
          <w:rFonts w:ascii="仿宋_GB2312" w:hAnsi="仿宋_GB2312" w:eastAsia="仿宋_GB2312"/>
          <w:sz w:val="32"/>
        </w:rPr>
        <w:t>(4)制定托里县档案干部队伍建设规划，组织档案专业干部培训；负责托里县档案学理论、档案业务工作和档案管理现代化的研究。</w:t>
      </w:r>
    </w:p>
    <w:p w14:paraId="2A9732C6">
      <w:pPr>
        <w:spacing w:line="640" w:lineRule="exact"/>
        <w:ind w:firstLine="640"/>
        <w:jc w:val="both"/>
        <w:outlineLvl w:val="2"/>
      </w:pPr>
      <w:r>
        <w:rPr>
          <w:rFonts w:ascii="黑体" w:hAnsi="黑体" w:eastAsia="黑体"/>
          <w:sz w:val="32"/>
        </w:rPr>
        <w:t>二、机构设置及人员情况</w:t>
      </w:r>
    </w:p>
    <w:p w14:paraId="60EF47E4">
      <w:pPr>
        <w:spacing w:line="580" w:lineRule="exact"/>
        <w:ind w:firstLine="640"/>
        <w:jc w:val="both"/>
      </w:pPr>
      <w:r>
        <w:rPr>
          <w:rFonts w:ascii="仿宋_GB2312" w:hAnsi="仿宋_GB2312" w:eastAsia="仿宋_GB2312"/>
          <w:sz w:val="32"/>
        </w:rPr>
        <w:t>托里县档案馆2024年度，实有人数13人，其中：在职人员6人，增加0人；离休人员0人，增加0人；退休人员7人,增加0人。</w:t>
      </w:r>
    </w:p>
    <w:p w14:paraId="495576B6">
      <w:pPr>
        <w:spacing w:line="580" w:lineRule="exact"/>
        <w:ind w:firstLine="640"/>
        <w:jc w:val="both"/>
      </w:pPr>
      <w:r>
        <w:rPr>
          <w:rFonts w:ascii="仿宋_GB2312" w:hAnsi="仿宋_GB2312" w:eastAsia="仿宋_GB2312"/>
          <w:sz w:val="32"/>
        </w:rPr>
        <w:t>托里县档案馆无下属预算单位，下设2个科室，分别是：办公室、财务室。</w:t>
      </w:r>
    </w:p>
    <w:p w14:paraId="2F0DEC15">
      <w:r>
        <w:br w:type="page"/>
      </w:r>
    </w:p>
    <w:p w14:paraId="3C24830E">
      <w:pPr>
        <w:spacing w:line="240" w:lineRule="auto"/>
        <w:jc w:val="center"/>
        <w:outlineLvl w:val="1"/>
      </w:pPr>
      <w:r>
        <w:rPr>
          <w:rFonts w:ascii="黑体" w:hAnsi="黑体" w:eastAsia="黑体"/>
          <w:sz w:val="32"/>
        </w:rPr>
        <w:t>第二部分 部门决算情况说明</w:t>
      </w:r>
    </w:p>
    <w:p w14:paraId="1DD17169">
      <w:pPr>
        <w:spacing w:line="640" w:lineRule="exact"/>
        <w:ind w:firstLine="640"/>
        <w:jc w:val="both"/>
        <w:outlineLvl w:val="2"/>
      </w:pPr>
      <w:r>
        <w:rPr>
          <w:rFonts w:ascii="黑体" w:hAnsi="黑体" w:eastAsia="黑体"/>
          <w:sz w:val="32"/>
        </w:rPr>
        <w:t>一、收入支出决算总体情况说明</w:t>
      </w:r>
    </w:p>
    <w:p w14:paraId="3E7FE1EE">
      <w:pPr>
        <w:spacing w:line="580" w:lineRule="exact"/>
        <w:ind w:firstLine="640"/>
        <w:jc w:val="both"/>
      </w:pPr>
      <w:r>
        <w:rPr>
          <w:rFonts w:ascii="仿宋_GB2312" w:hAnsi="仿宋_GB2312" w:eastAsia="仿宋_GB2312"/>
          <w:b/>
          <w:sz w:val="32"/>
        </w:rPr>
        <w:t>2024年度收入总计146.95万元，</w:t>
      </w:r>
      <w:r>
        <w:rPr>
          <w:rFonts w:ascii="仿宋_GB2312" w:hAnsi="仿宋_GB2312" w:eastAsia="仿宋_GB2312"/>
          <w:b w:val="0"/>
          <w:sz w:val="32"/>
        </w:rPr>
        <w:t>其中：本年收入合计146.95万元，使用非财政拨款结余（含专用结余）0.00万元，年初结转和结余0.00万元。</w:t>
      </w:r>
    </w:p>
    <w:p w14:paraId="4F558538">
      <w:pPr>
        <w:spacing w:line="580" w:lineRule="exact"/>
        <w:ind w:firstLine="640"/>
        <w:jc w:val="both"/>
      </w:pPr>
      <w:r>
        <w:rPr>
          <w:rFonts w:ascii="仿宋_GB2312" w:hAnsi="仿宋_GB2312" w:eastAsia="仿宋_GB2312"/>
          <w:b/>
          <w:sz w:val="32"/>
        </w:rPr>
        <w:t>2024年度支出总计146.95万元，</w:t>
      </w:r>
      <w:r>
        <w:rPr>
          <w:rFonts w:ascii="仿宋_GB2312" w:hAnsi="仿宋_GB2312" w:eastAsia="仿宋_GB2312"/>
          <w:b w:val="0"/>
          <w:sz w:val="32"/>
        </w:rPr>
        <w:t>其中：本年支出合计146.94万元，结余分配0.00万元，年末结转和结余0.01万元。</w:t>
      </w:r>
    </w:p>
    <w:p w14:paraId="62F29430">
      <w:pPr>
        <w:spacing w:line="580" w:lineRule="exact"/>
        <w:ind w:firstLine="640"/>
        <w:jc w:val="both"/>
      </w:pPr>
      <w:r>
        <w:rPr>
          <w:rFonts w:ascii="仿宋_GB2312" w:hAnsi="仿宋_GB2312" w:eastAsia="仿宋_GB2312"/>
          <w:b w:val="0"/>
          <w:sz w:val="32"/>
        </w:rPr>
        <w:t>收入支出总体与上年相比，减少140.41万元，下降48.86%，主要原因是：本年减少托里县档案局和环保局综合业务楼工程、托里县档案局档案馆室外附属工程等项目。</w:t>
      </w:r>
    </w:p>
    <w:p w14:paraId="308BC47F">
      <w:pPr>
        <w:spacing w:line="640" w:lineRule="exact"/>
        <w:ind w:firstLine="640"/>
        <w:jc w:val="both"/>
        <w:outlineLvl w:val="2"/>
      </w:pPr>
      <w:r>
        <w:rPr>
          <w:rFonts w:ascii="黑体" w:hAnsi="黑体" w:eastAsia="黑体"/>
          <w:sz w:val="32"/>
        </w:rPr>
        <w:t>二、收入决算情况说明</w:t>
      </w:r>
    </w:p>
    <w:p w14:paraId="3B20442F">
      <w:pPr>
        <w:spacing w:line="580" w:lineRule="exact"/>
        <w:ind w:firstLine="640"/>
        <w:jc w:val="both"/>
      </w:pPr>
      <w:r>
        <w:rPr>
          <w:rFonts w:ascii="仿宋_GB2312" w:hAnsi="仿宋_GB2312" w:eastAsia="仿宋_GB2312"/>
          <w:b/>
          <w:sz w:val="32"/>
        </w:rPr>
        <w:t>本年收入146.95万元，</w:t>
      </w:r>
      <w:r>
        <w:rPr>
          <w:rFonts w:ascii="仿宋_GB2312" w:hAnsi="仿宋_GB2312" w:eastAsia="仿宋_GB2312"/>
          <w:b w:val="0"/>
          <w:sz w:val="32"/>
        </w:rPr>
        <w:t>其中：财政拨款收入145.40万元，占98.95%；上级补助收入0.00万元，占0.00%；事业收入0.00万元，占0.00%；经营收入0.00万元，占0.00%；附属单位上缴收入0.00万元，占0.00%；其他收入1.54万元，占1.05%。</w:t>
      </w:r>
    </w:p>
    <w:p w14:paraId="77B3F47C">
      <w:pPr>
        <w:spacing w:line="640" w:lineRule="exact"/>
        <w:ind w:firstLine="640"/>
        <w:jc w:val="both"/>
        <w:outlineLvl w:val="2"/>
      </w:pPr>
      <w:r>
        <w:rPr>
          <w:rFonts w:ascii="黑体" w:hAnsi="黑体" w:eastAsia="黑体"/>
          <w:sz w:val="32"/>
        </w:rPr>
        <w:t>三、支出决算情况说明</w:t>
      </w:r>
    </w:p>
    <w:p w14:paraId="16B0A229">
      <w:pPr>
        <w:spacing w:line="580" w:lineRule="exact"/>
        <w:ind w:firstLine="640"/>
        <w:jc w:val="both"/>
      </w:pPr>
      <w:r>
        <w:rPr>
          <w:rFonts w:ascii="仿宋_GB2312" w:hAnsi="仿宋_GB2312" w:eastAsia="仿宋_GB2312"/>
          <w:b/>
          <w:sz w:val="32"/>
        </w:rPr>
        <w:t>本年支出146.94万元，</w:t>
      </w:r>
      <w:r>
        <w:rPr>
          <w:rFonts w:ascii="仿宋_GB2312" w:hAnsi="仿宋_GB2312" w:eastAsia="仿宋_GB2312"/>
          <w:b w:val="0"/>
          <w:sz w:val="32"/>
        </w:rPr>
        <w:t>其中：基本支出125.61万元，占85.48%；项目支出21.33万元，占14.52%；上缴上级支出0.00万元，占0.00%；经营支出0.00万元，占0.00%；对附属单位补助支出0.00万元，占0.00%。</w:t>
      </w:r>
    </w:p>
    <w:p w14:paraId="6F66E49B">
      <w:pPr>
        <w:spacing w:line="640" w:lineRule="exact"/>
        <w:ind w:firstLine="640"/>
        <w:jc w:val="both"/>
        <w:outlineLvl w:val="2"/>
      </w:pPr>
      <w:r>
        <w:rPr>
          <w:rFonts w:ascii="黑体" w:hAnsi="黑体" w:eastAsia="黑体"/>
          <w:sz w:val="32"/>
        </w:rPr>
        <w:t>四、财政拨款收入支出决算总体情况说明</w:t>
      </w:r>
    </w:p>
    <w:p w14:paraId="2ABE203C">
      <w:pPr>
        <w:spacing w:line="580" w:lineRule="exact"/>
        <w:ind w:firstLine="640"/>
        <w:jc w:val="both"/>
      </w:pPr>
      <w:r>
        <w:rPr>
          <w:rFonts w:ascii="仿宋_GB2312" w:hAnsi="仿宋_GB2312" w:eastAsia="仿宋_GB2312"/>
          <w:b/>
          <w:sz w:val="32"/>
        </w:rPr>
        <w:t>2024年度财政拨款收入总计145.40万元，</w:t>
      </w:r>
      <w:r>
        <w:rPr>
          <w:rFonts w:ascii="仿宋_GB2312" w:hAnsi="仿宋_GB2312" w:eastAsia="仿宋_GB2312"/>
          <w:b w:val="0"/>
          <w:sz w:val="32"/>
        </w:rPr>
        <w:t>其中：年初财政拨款结转和结余0.00万元，本年财政拨款收入145.40万元。</w:t>
      </w:r>
      <w:r>
        <w:rPr>
          <w:rFonts w:ascii="仿宋_GB2312" w:hAnsi="仿宋_GB2312" w:eastAsia="仿宋_GB2312"/>
          <w:b/>
          <w:sz w:val="32"/>
        </w:rPr>
        <w:t>财政拨款支出总计145.40万元，</w:t>
      </w:r>
      <w:r>
        <w:rPr>
          <w:rFonts w:ascii="仿宋_GB2312" w:hAnsi="仿宋_GB2312" w:eastAsia="仿宋_GB2312"/>
          <w:b w:val="0"/>
          <w:sz w:val="32"/>
        </w:rPr>
        <w:t>其中：年末财政拨款结转和结余0.00万元，本年财政拨款支出145.40万元。</w:t>
      </w:r>
    </w:p>
    <w:p w14:paraId="7083FED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减少141.95万元，下降49.40%，主要原因是：本年减少托里县档案局和环保局综合业务楼工程、托里县档案局档案馆室外附属工程等项目。</w:t>
      </w:r>
      <w:r>
        <w:rPr>
          <w:rFonts w:ascii="仿宋_GB2312" w:hAnsi="仿宋_GB2312" w:eastAsia="仿宋_GB2312"/>
          <w:b/>
          <w:sz w:val="32"/>
        </w:rPr>
        <w:t>与年初预算相比，</w:t>
      </w:r>
      <w:r>
        <w:rPr>
          <w:rFonts w:ascii="仿宋_GB2312" w:hAnsi="仿宋_GB2312" w:eastAsia="仿宋_GB2312"/>
          <w:b w:val="0"/>
          <w:sz w:val="32"/>
        </w:rPr>
        <w:t>年初预算数155.10万元，决算数145.40万元，预决算差异率-6.25%，主要原因是：本年退休人员</w:t>
      </w:r>
      <w:r>
        <w:rPr>
          <w:rFonts w:hint="eastAsia" w:ascii="仿宋_GB2312" w:hAnsi="仿宋_GB2312" w:eastAsia="仿宋_GB2312"/>
          <w:b w:val="0"/>
          <w:sz w:val="32"/>
          <w:lang w:val="en-US" w:eastAsia="zh-CN"/>
        </w:rPr>
        <w:t>单位</w:t>
      </w:r>
      <w:r>
        <w:rPr>
          <w:rFonts w:ascii="仿宋_GB2312" w:hAnsi="仿宋_GB2312" w:eastAsia="仿宋_GB2312"/>
          <w:b w:val="0"/>
          <w:sz w:val="32"/>
        </w:rPr>
        <w:t>不</w:t>
      </w:r>
      <w:r>
        <w:rPr>
          <w:rFonts w:hint="eastAsia" w:ascii="仿宋_GB2312" w:hAnsi="仿宋_GB2312" w:eastAsia="仿宋_GB2312"/>
          <w:b w:val="0"/>
          <w:sz w:val="32"/>
          <w:lang w:val="en-US" w:eastAsia="zh-CN"/>
        </w:rPr>
        <w:t>再</w:t>
      </w:r>
      <w:r>
        <w:rPr>
          <w:rFonts w:ascii="仿宋_GB2312" w:hAnsi="仿宋_GB2312" w:eastAsia="仿宋_GB2312"/>
          <w:b w:val="0"/>
          <w:sz w:val="32"/>
        </w:rPr>
        <w:t>缴纳医疗，年中调减经费，导致预决算差异。</w:t>
      </w:r>
    </w:p>
    <w:p w14:paraId="500D9DD4">
      <w:pPr>
        <w:spacing w:line="640" w:lineRule="exact"/>
        <w:ind w:firstLine="640"/>
        <w:jc w:val="both"/>
        <w:outlineLvl w:val="2"/>
      </w:pPr>
      <w:r>
        <w:rPr>
          <w:rFonts w:ascii="黑体" w:hAnsi="黑体" w:eastAsia="黑体"/>
          <w:sz w:val="32"/>
        </w:rPr>
        <w:t>五、一般公共预算财政拨款支出决算情况说明</w:t>
      </w:r>
    </w:p>
    <w:p w14:paraId="1F70E143">
      <w:pPr>
        <w:spacing w:line="640" w:lineRule="exact"/>
        <w:ind w:firstLine="640"/>
        <w:jc w:val="both"/>
        <w:outlineLvl w:val="3"/>
      </w:pPr>
      <w:r>
        <w:rPr>
          <w:rFonts w:ascii="楷体_GB2312" w:hAnsi="楷体_GB2312" w:eastAsia="楷体_GB2312"/>
          <w:b/>
          <w:sz w:val="32"/>
        </w:rPr>
        <w:t>（一）一般公共预算财政拨款支出决算总体情况</w:t>
      </w:r>
    </w:p>
    <w:p w14:paraId="20E6EF82">
      <w:pPr>
        <w:spacing w:line="580" w:lineRule="exact"/>
        <w:ind w:firstLine="640"/>
        <w:jc w:val="both"/>
      </w:pPr>
      <w:r>
        <w:rPr>
          <w:rFonts w:ascii="仿宋_GB2312" w:hAnsi="仿宋_GB2312" w:eastAsia="仿宋_GB2312"/>
          <w:b/>
          <w:sz w:val="32"/>
        </w:rPr>
        <w:t>2024年度一般公共预算财政拨款支出125.61万元，</w:t>
      </w:r>
      <w:r>
        <w:rPr>
          <w:rFonts w:ascii="仿宋_GB2312" w:hAnsi="仿宋_GB2312" w:eastAsia="仿宋_GB2312"/>
          <w:b w:val="0"/>
          <w:sz w:val="32"/>
        </w:rPr>
        <w:t>占本年支出合计的85.48%。</w:t>
      </w:r>
      <w:r>
        <w:rPr>
          <w:rFonts w:ascii="仿宋_GB2312" w:hAnsi="仿宋_GB2312" w:eastAsia="仿宋_GB2312"/>
          <w:b/>
          <w:sz w:val="32"/>
        </w:rPr>
        <w:t>与上年相比，</w:t>
      </w:r>
      <w:r>
        <w:rPr>
          <w:rFonts w:ascii="仿宋_GB2312" w:hAnsi="仿宋_GB2312" w:eastAsia="仿宋_GB2312"/>
          <w:b w:val="0"/>
          <w:sz w:val="32"/>
        </w:rPr>
        <w:t>增加5.14万元，增长4.27%，主要原因是：本年在职人员工资调增，社保、公积金基数调增，人员经费增加。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年初预算数135.31万元，决算数125.61万元，预决算差异率-7.17%，主要原因是：本年退休人员</w:t>
      </w:r>
      <w:r>
        <w:rPr>
          <w:rFonts w:hint="eastAsia" w:ascii="仿宋_GB2312" w:hAnsi="仿宋_GB2312" w:eastAsia="仿宋_GB2312"/>
          <w:b w:val="0"/>
          <w:sz w:val="32"/>
          <w:lang w:val="en-US" w:eastAsia="zh-CN"/>
        </w:rPr>
        <w:t>单位</w:t>
      </w:r>
      <w:r>
        <w:rPr>
          <w:rFonts w:ascii="仿宋_GB2312" w:hAnsi="仿宋_GB2312" w:eastAsia="仿宋_GB2312"/>
          <w:b w:val="0"/>
          <w:sz w:val="32"/>
        </w:rPr>
        <w:t>不</w:t>
      </w:r>
      <w:r>
        <w:rPr>
          <w:rFonts w:hint="eastAsia" w:ascii="仿宋_GB2312" w:hAnsi="仿宋_GB2312" w:eastAsia="仿宋_GB2312"/>
          <w:b w:val="0"/>
          <w:sz w:val="32"/>
          <w:lang w:val="en-US" w:eastAsia="zh-CN"/>
        </w:rPr>
        <w:t>再</w:t>
      </w:r>
      <w:r>
        <w:rPr>
          <w:rFonts w:ascii="仿宋_GB2312" w:hAnsi="仿宋_GB2312" w:eastAsia="仿宋_GB2312"/>
          <w:b w:val="0"/>
          <w:sz w:val="32"/>
        </w:rPr>
        <w:t>缴纳医疗，年中调减经费，导致预决算差异。</w:t>
      </w:r>
    </w:p>
    <w:p w14:paraId="2527BE49">
      <w:pPr>
        <w:spacing w:line="640" w:lineRule="exact"/>
        <w:ind w:firstLine="640"/>
        <w:jc w:val="both"/>
        <w:outlineLvl w:val="3"/>
      </w:pPr>
      <w:r>
        <w:rPr>
          <w:rFonts w:ascii="楷体_GB2312" w:hAnsi="楷体_GB2312" w:eastAsia="楷体_GB2312"/>
          <w:b/>
          <w:sz w:val="32"/>
        </w:rPr>
        <w:t>（二）一般公共预算财政拨款支出决算结构情况</w:t>
      </w:r>
    </w:p>
    <w:p w14:paraId="6CB09078">
      <w:pPr>
        <w:spacing w:line="580" w:lineRule="exact"/>
        <w:ind w:firstLine="640"/>
        <w:jc w:val="both"/>
      </w:pPr>
      <w:r>
        <w:rPr>
          <w:rFonts w:ascii="仿宋_GB2312" w:hAnsi="仿宋_GB2312" w:eastAsia="仿宋_GB2312"/>
          <w:b w:val="0"/>
          <w:sz w:val="32"/>
        </w:rPr>
        <w:t>1.一般公共服务支出(类)95.47万元,占76.01%。</w:t>
      </w:r>
    </w:p>
    <w:p w14:paraId="30E03DA6">
      <w:pPr>
        <w:spacing w:line="580" w:lineRule="exact"/>
        <w:ind w:firstLine="640"/>
        <w:jc w:val="both"/>
      </w:pPr>
      <w:r>
        <w:rPr>
          <w:rFonts w:ascii="仿宋_GB2312" w:hAnsi="仿宋_GB2312" w:eastAsia="仿宋_GB2312"/>
          <w:b w:val="0"/>
          <w:sz w:val="32"/>
        </w:rPr>
        <w:t>2.社会保障和就业支出(类)15.72万元,占12.51%。</w:t>
      </w:r>
    </w:p>
    <w:p w14:paraId="21F52D69">
      <w:pPr>
        <w:spacing w:line="580" w:lineRule="exact"/>
        <w:ind w:firstLine="640"/>
        <w:jc w:val="both"/>
      </w:pPr>
      <w:r>
        <w:rPr>
          <w:rFonts w:ascii="仿宋_GB2312" w:hAnsi="仿宋_GB2312" w:eastAsia="仿宋_GB2312"/>
          <w:b w:val="0"/>
          <w:sz w:val="32"/>
        </w:rPr>
        <w:t>3.卫生健康支出(类)6.10万元,占4.86%。</w:t>
      </w:r>
    </w:p>
    <w:p w14:paraId="6F2612EA">
      <w:pPr>
        <w:spacing w:line="580" w:lineRule="exact"/>
        <w:ind w:firstLine="640"/>
        <w:jc w:val="both"/>
      </w:pPr>
      <w:r>
        <w:rPr>
          <w:rFonts w:ascii="仿宋_GB2312" w:hAnsi="仿宋_GB2312" w:eastAsia="仿宋_GB2312"/>
          <w:b w:val="0"/>
          <w:sz w:val="32"/>
        </w:rPr>
        <w:t>4.住房保障支出(类)8.32万元,占6.62%。</w:t>
      </w:r>
    </w:p>
    <w:p w14:paraId="6D492AB4">
      <w:pPr>
        <w:spacing w:line="640" w:lineRule="exact"/>
        <w:ind w:firstLine="640"/>
        <w:jc w:val="both"/>
        <w:outlineLvl w:val="3"/>
      </w:pPr>
      <w:r>
        <w:rPr>
          <w:rFonts w:ascii="楷体_GB2312" w:hAnsi="楷体_GB2312" w:eastAsia="楷体_GB2312"/>
          <w:b/>
          <w:sz w:val="32"/>
        </w:rPr>
        <w:t>（三）一般公共预算财政拨款支出决算具体情况</w:t>
      </w:r>
    </w:p>
    <w:p w14:paraId="7E0E915C">
      <w:pPr>
        <w:spacing w:line="580" w:lineRule="exact"/>
        <w:ind w:firstLine="640"/>
        <w:jc w:val="both"/>
      </w:pPr>
      <w:r>
        <w:rPr>
          <w:rFonts w:ascii="仿宋_GB2312" w:hAnsi="仿宋_GB2312" w:eastAsia="仿宋_GB2312"/>
          <w:b w:val="0"/>
          <w:sz w:val="32"/>
        </w:rPr>
        <w:t>1.一般公共服务支出(类)档案事务(款)行政运行(项):支出决算数为95.47万元，比上年决算增加4.60万元，增长5.06%,主要原因是：本年在职人员工资调增，人员经费增加。</w:t>
      </w:r>
    </w:p>
    <w:p w14:paraId="6ED6A68E">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2.社会保障和就业支出(类)行政事业单位养老支出(款)行政单位离退休(项):支出决算数为5.42万元，比上年决算增加1.45万元，增长36.52%,主要原因是：本年增加退休人员基础绩效奖，退休费支出增加。</w:t>
      </w:r>
    </w:p>
    <w:p w14:paraId="673E46B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10.30万元，比上年决算减少0.10万元，下降0.96%,主要原因是：上年12月调出1人，本年较上年减少该调出人员养老保险缴费，导致经费减少。</w:t>
      </w:r>
    </w:p>
    <w:p w14:paraId="1E2713DB">
      <w:pPr>
        <w:spacing w:line="580" w:lineRule="exact"/>
        <w:ind w:firstLine="640"/>
        <w:jc w:val="both"/>
      </w:pPr>
      <w:r>
        <w:rPr>
          <w:rFonts w:ascii="仿宋_GB2312" w:hAnsi="仿宋_GB2312" w:eastAsia="仿宋_GB2312"/>
          <w:b w:val="0"/>
          <w:sz w:val="32"/>
        </w:rPr>
        <w:t>4.卫生健康支出(类)行政事业单位医疗(款)行政单位医疗(项):支出决算数为4.26万元，比上年决算减少0.40万元，下降8.58%,主要原因是：上年12月调出1人，本年较上年减少该调出人员单位医疗缴费，导致经费减少。</w:t>
      </w:r>
    </w:p>
    <w:p w14:paraId="7F7F89B4">
      <w:pPr>
        <w:spacing w:line="580" w:lineRule="exact"/>
        <w:ind w:firstLine="640"/>
        <w:jc w:val="both"/>
      </w:pPr>
      <w:r>
        <w:rPr>
          <w:rFonts w:ascii="仿宋_GB2312" w:hAnsi="仿宋_GB2312" w:eastAsia="仿宋_GB2312"/>
          <w:b w:val="0"/>
          <w:sz w:val="32"/>
        </w:rPr>
        <w:t>5.卫生健康支出(类)行政事业单位医疗(款)公务员医疗补助(项):支出决算数为1.84万元，比上年决算减少0.21万元，下降10.24%,主要原因是：上年12月调出1人，本年较上年减少该调出人员公务员医疗补助缴费，导致经费减少。</w:t>
      </w:r>
    </w:p>
    <w:p w14:paraId="482976BB">
      <w:pPr>
        <w:spacing w:line="580" w:lineRule="exact"/>
        <w:ind w:firstLine="640"/>
        <w:jc w:val="both"/>
      </w:pPr>
      <w:r>
        <w:rPr>
          <w:rFonts w:ascii="仿宋_GB2312" w:hAnsi="仿宋_GB2312" w:eastAsia="仿宋_GB2312"/>
          <w:b w:val="0"/>
          <w:sz w:val="32"/>
        </w:rPr>
        <w:t>6.住房保障支出(类)住房改革支出(款)住房公积金(项):支出决算数为8.32万元，比上年决算减少0.19万元，下降2.23%,主要原因是：上年12月调出1人，本年较上年减少该调出人员住房公积金缴费，导致经费减少。</w:t>
      </w:r>
    </w:p>
    <w:p w14:paraId="450436CA">
      <w:pPr>
        <w:spacing w:line="640" w:lineRule="exact"/>
        <w:ind w:firstLine="640"/>
        <w:jc w:val="both"/>
        <w:outlineLvl w:val="2"/>
      </w:pPr>
      <w:r>
        <w:rPr>
          <w:rFonts w:ascii="黑体" w:hAnsi="黑体" w:eastAsia="黑体"/>
          <w:sz w:val="32"/>
        </w:rPr>
        <w:t>六、一般公共预算财政拨款基本支出决算情况说明</w:t>
      </w:r>
    </w:p>
    <w:p w14:paraId="548383D1">
      <w:pPr>
        <w:spacing w:line="580" w:lineRule="exact"/>
        <w:ind w:firstLine="640"/>
        <w:jc w:val="both"/>
      </w:pPr>
      <w:r>
        <w:rPr>
          <w:rFonts w:ascii="仿宋_GB2312" w:hAnsi="仿宋_GB2312" w:eastAsia="仿宋_GB2312"/>
          <w:b w:val="0"/>
          <w:sz w:val="32"/>
        </w:rPr>
        <w:t>2024年度一般公共预算财政拨款基本支出125.61万元，其中：</w:t>
      </w:r>
      <w:r>
        <w:rPr>
          <w:rFonts w:ascii="仿宋_GB2312" w:hAnsi="仿宋_GB2312" w:eastAsia="仿宋_GB2312"/>
          <w:b/>
          <w:sz w:val="32"/>
        </w:rPr>
        <w:t>人员经费115.29万元，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1F36BF32">
      <w:pPr>
        <w:spacing w:line="580" w:lineRule="exact"/>
        <w:ind w:firstLine="640"/>
        <w:jc w:val="both"/>
      </w:pPr>
      <w:r>
        <w:rPr>
          <w:rFonts w:ascii="仿宋_GB2312" w:hAnsi="仿宋_GB2312" w:eastAsia="仿宋_GB2312"/>
          <w:b/>
          <w:sz w:val="32"/>
        </w:rPr>
        <w:t>公用经费10.32万元，</w:t>
      </w:r>
      <w:r>
        <w:rPr>
          <w:rFonts w:ascii="仿宋_GB2312" w:hAnsi="仿宋_GB2312" w:eastAsia="仿宋_GB2312"/>
          <w:b w:val="0"/>
          <w:sz w:val="32"/>
        </w:rPr>
        <w:t>包括：办公费、水费、电费、邮电费、</w:t>
      </w:r>
      <w:r>
        <w:rPr>
          <w:rFonts w:ascii="仿宋_GB2312" w:hAnsi="仿宋_GB2312" w:eastAsia="仿宋_GB2312"/>
          <w:b w:val="0"/>
          <w:w w:val="97"/>
          <w:sz w:val="32"/>
        </w:rPr>
        <w:t>取暖费、维修（护）费、培训费、工会经费、其他商品和服务支出。</w:t>
      </w:r>
    </w:p>
    <w:p w14:paraId="2F22D803">
      <w:pPr>
        <w:spacing w:line="640" w:lineRule="exact"/>
        <w:ind w:firstLine="640"/>
        <w:jc w:val="both"/>
        <w:outlineLvl w:val="2"/>
      </w:pPr>
      <w:r>
        <w:rPr>
          <w:rFonts w:ascii="黑体" w:hAnsi="黑体" w:eastAsia="黑体"/>
          <w:sz w:val="32"/>
        </w:rPr>
        <w:t>七、政府性基金预算财政拨款收入支出决算情况说明</w:t>
      </w:r>
    </w:p>
    <w:p w14:paraId="51359D8A">
      <w:pPr>
        <w:spacing w:line="580" w:lineRule="exact"/>
        <w:ind w:firstLine="640"/>
        <w:jc w:val="both"/>
      </w:pPr>
      <w:r>
        <w:rPr>
          <w:rFonts w:ascii="仿宋_GB2312" w:hAnsi="仿宋_GB2312" w:eastAsia="仿宋_GB2312"/>
          <w:b/>
          <w:sz w:val="32"/>
        </w:rPr>
        <w:t>2024年度政府性基金预算财政拨款收入总计19.79万元，</w:t>
      </w:r>
      <w:r>
        <w:rPr>
          <w:rFonts w:ascii="仿宋_GB2312" w:hAnsi="仿宋_GB2312" w:eastAsia="仿宋_GB2312"/>
          <w:b w:val="0"/>
          <w:sz w:val="32"/>
        </w:rPr>
        <w:t>其中：年初结转和结余0.00万元，本年收入19.79万元。</w:t>
      </w:r>
      <w:r>
        <w:rPr>
          <w:rFonts w:ascii="仿宋_GB2312" w:hAnsi="仿宋_GB2312" w:eastAsia="仿宋_GB2312"/>
          <w:b/>
          <w:sz w:val="32"/>
        </w:rPr>
        <w:t>政府性基金预算财政拨款支出总计19.79万元，</w:t>
      </w:r>
      <w:r>
        <w:rPr>
          <w:rFonts w:ascii="仿宋_GB2312" w:hAnsi="仿宋_GB2312" w:eastAsia="仿宋_GB2312"/>
          <w:b w:val="0"/>
          <w:sz w:val="32"/>
        </w:rPr>
        <w:t>其中：年末结转和结余0.00万元，本年支出19.79万元。</w:t>
      </w:r>
    </w:p>
    <w:p w14:paraId="06F76AC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减少146.44万元，下降88.09%，主要原因是：本年减少托里县档案局和环保局综合业务楼工程、托里县档案局档案馆室外附属工程等项目。</w:t>
      </w:r>
      <w:r>
        <w:rPr>
          <w:rFonts w:ascii="仿宋_GB2312" w:hAnsi="仿宋_GB2312" w:eastAsia="仿宋_GB2312"/>
          <w:b/>
          <w:sz w:val="32"/>
        </w:rPr>
        <w:t>与年初预算相比，</w:t>
      </w:r>
      <w:r>
        <w:rPr>
          <w:rFonts w:ascii="仿宋_GB2312" w:hAnsi="仿宋_GB2312" w:eastAsia="仿宋_GB2312"/>
          <w:b w:val="0"/>
          <w:sz w:val="32"/>
        </w:rPr>
        <w:t>年初预算数19.79万元，决算数19.79万元，预决算差异率0.00%，主要原因是：严格按照预算执行，预决算无差异。</w:t>
      </w:r>
    </w:p>
    <w:p w14:paraId="50687161">
      <w:pPr>
        <w:spacing w:line="580" w:lineRule="exact"/>
        <w:ind w:firstLine="640"/>
        <w:jc w:val="both"/>
      </w:pPr>
      <w:r>
        <w:rPr>
          <w:rFonts w:ascii="仿宋_GB2312" w:hAnsi="仿宋_GB2312" w:eastAsia="仿宋_GB2312"/>
          <w:b w:val="0"/>
          <w:sz w:val="32"/>
        </w:rPr>
        <w:t>政府性基金预算财政拨款支出19.79万元。</w:t>
      </w:r>
    </w:p>
    <w:p w14:paraId="70849767">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0.00万元，比上年决算减少153.19万元，下降100.00%,主要原因是：本年减少托里县档案局和环保局综合业务楼工程、托里县档案局档案馆室外附属工程等项目。</w:t>
      </w:r>
    </w:p>
    <w:p w14:paraId="1EC01EAD">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19.79万元，比上年决算增加6.75万元，增长51.76%,主要原因是：本年增加托里县档案馆办公楼供热管线改造及更换工程项目。</w:t>
      </w:r>
    </w:p>
    <w:p w14:paraId="16209FFB">
      <w:pPr>
        <w:spacing w:line="640" w:lineRule="exact"/>
        <w:ind w:firstLine="640"/>
        <w:jc w:val="both"/>
        <w:outlineLvl w:val="2"/>
      </w:pPr>
      <w:r>
        <w:rPr>
          <w:rFonts w:ascii="黑体" w:hAnsi="黑体" w:eastAsia="黑体"/>
          <w:sz w:val="32"/>
        </w:rPr>
        <w:t>八、国有资本经营预算财政拨款收入支出决算情况说明</w:t>
      </w:r>
    </w:p>
    <w:p w14:paraId="3E7A8F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CAA781">
      <w:pPr>
        <w:spacing w:line="640" w:lineRule="exact"/>
        <w:ind w:firstLine="640"/>
        <w:jc w:val="both"/>
        <w:outlineLvl w:val="2"/>
      </w:pPr>
      <w:r>
        <w:rPr>
          <w:rFonts w:ascii="黑体" w:hAnsi="黑体" w:eastAsia="黑体"/>
          <w:sz w:val="32"/>
        </w:rPr>
        <w:t>九、财政拨款“三公”经费支出决算情况说明</w:t>
      </w:r>
    </w:p>
    <w:p w14:paraId="2F300E3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8061F7B">
      <w:pPr>
        <w:spacing w:line="580" w:lineRule="exact"/>
        <w:ind w:firstLine="640"/>
        <w:jc w:val="both"/>
      </w:pPr>
      <w:r>
        <w:rPr>
          <w:rFonts w:ascii="仿宋_GB2312" w:hAnsi="仿宋_GB2312" w:eastAsia="仿宋_GB2312"/>
          <w:b/>
          <w:sz w:val="32"/>
        </w:rPr>
        <w:t>具体情况如下：</w:t>
      </w:r>
    </w:p>
    <w:p w14:paraId="76D24EC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AE9D1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2E84A45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EF24D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2FA4235">
      <w:pPr>
        <w:spacing w:line="640" w:lineRule="exact"/>
        <w:ind w:firstLine="640"/>
        <w:jc w:val="both"/>
        <w:outlineLvl w:val="2"/>
      </w:pPr>
      <w:r>
        <w:rPr>
          <w:rFonts w:ascii="黑体" w:hAnsi="黑体" w:eastAsia="黑体"/>
          <w:sz w:val="32"/>
        </w:rPr>
        <w:t>十、其他重要事项的情况说明</w:t>
      </w:r>
    </w:p>
    <w:p w14:paraId="08FC0619">
      <w:pPr>
        <w:spacing w:line="640" w:lineRule="exact"/>
        <w:ind w:firstLine="640"/>
        <w:jc w:val="both"/>
        <w:outlineLvl w:val="3"/>
      </w:pPr>
      <w:r>
        <w:rPr>
          <w:rFonts w:ascii="楷体_GB2312" w:hAnsi="楷体_GB2312" w:eastAsia="楷体_GB2312"/>
          <w:b/>
          <w:sz w:val="32"/>
        </w:rPr>
        <w:t>（一）机关运行经费及公用经费支出情况</w:t>
      </w:r>
    </w:p>
    <w:p w14:paraId="0871FC75">
      <w:pPr>
        <w:spacing w:line="580" w:lineRule="exact"/>
        <w:ind w:firstLine="640"/>
        <w:jc w:val="both"/>
      </w:pPr>
      <w:r>
        <w:rPr>
          <w:rFonts w:ascii="仿宋_GB2312" w:hAnsi="仿宋_GB2312" w:eastAsia="仿宋_GB2312"/>
          <w:b w:val="0"/>
          <w:sz w:val="32"/>
        </w:rPr>
        <w:t>2024年度托里县档案馆（行政单位和参照公务员法管理事业单位）机关运行经费支出10.32万元，比上年增加2.05万元，增长24.79%，主要原因是：本年更新、维护补充办公用品，导致机关运行经费较上年增加。</w:t>
      </w:r>
    </w:p>
    <w:p w14:paraId="7C0326BC">
      <w:pPr>
        <w:spacing w:line="640" w:lineRule="exact"/>
        <w:ind w:firstLine="640"/>
        <w:jc w:val="both"/>
        <w:outlineLvl w:val="3"/>
      </w:pPr>
      <w:r>
        <w:rPr>
          <w:rFonts w:ascii="楷体_GB2312" w:hAnsi="楷体_GB2312" w:eastAsia="楷体_GB2312"/>
          <w:b/>
          <w:sz w:val="32"/>
        </w:rPr>
        <w:t>（二）政府采购情况</w:t>
      </w:r>
    </w:p>
    <w:p w14:paraId="66A15682">
      <w:pPr>
        <w:spacing w:line="580" w:lineRule="exact"/>
        <w:ind w:firstLine="640"/>
        <w:jc w:val="both"/>
      </w:pPr>
      <w:r>
        <w:rPr>
          <w:rFonts w:ascii="仿宋_GB2312" w:hAnsi="仿宋_GB2312" w:eastAsia="仿宋_GB2312"/>
          <w:b w:val="0"/>
          <w:sz w:val="32"/>
        </w:rPr>
        <w:t>2024年度政府采购支出总额0.78万元，其中：政府采购货物支出0.34万元、政府采购工程支出0.00万元、政府采购服务支出0.44万元。</w:t>
      </w:r>
    </w:p>
    <w:p w14:paraId="0760FCA4">
      <w:pPr>
        <w:spacing w:line="580" w:lineRule="exact"/>
        <w:ind w:firstLine="640"/>
        <w:jc w:val="both"/>
      </w:pPr>
      <w:r>
        <w:rPr>
          <w:rFonts w:ascii="仿宋_GB2312" w:hAnsi="仿宋_GB2312" w:eastAsia="仿宋_GB2312"/>
          <w:b w:val="0"/>
          <w:sz w:val="32"/>
        </w:rPr>
        <w:t>授予中小企业合同金额0.78万元，占政府采购支出总额的100.00%，其中：授予小微企业合同金额0.78万元，占政府采购支出总额的100.00%。</w:t>
      </w:r>
    </w:p>
    <w:p w14:paraId="230AB8DA">
      <w:pPr>
        <w:spacing w:line="640" w:lineRule="exact"/>
        <w:ind w:firstLine="640"/>
        <w:jc w:val="both"/>
        <w:outlineLvl w:val="3"/>
      </w:pPr>
      <w:r>
        <w:rPr>
          <w:rFonts w:ascii="楷体_GB2312" w:hAnsi="楷体_GB2312" w:eastAsia="楷体_GB2312"/>
          <w:b/>
          <w:sz w:val="32"/>
        </w:rPr>
        <w:t>（三）国有资产占用情况说明</w:t>
      </w:r>
    </w:p>
    <w:p w14:paraId="35CFBEB6">
      <w:pPr>
        <w:spacing w:line="580" w:lineRule="exact"/>
        <w:ind w:firstLine="640"/>
        <w:jc w:val="both"/>
      </w:pPr>
      <w:r>
        <w:rPr>
          <w:rFonts w:ascii="仿宋_GB2312" w:hAnsi="仿宋_GB2312" w:eastAsia="仿宋_GB2312"/>
          <w:b w:val="0"/>
          <w:sz w:val="32"/>
        </w:rPr>
        <w:t>截至2024年12月31日，房屋2,314.00平方米，价值508.88万元。车辆0辆，价值0.00万元，其中：副部（省）级及以上领导用车0辆、主要负责人用车0辆、机要通信用车0辆、应急保障用车0辆、执法执勤用车0辆、特种专业技术用车0辆、离退休干部服务用车0辆、其他用车0辆，其他用车主要是：本单</w:t>
      </w:r>
      <w:r>
        <w:rPr>
          <w:rFonts w:ascii="仿宋_GB2312" w:hAnsi="仿宋_GB2312" w:eastAsia="仿宋_GB2312"/>
          <w:b w:val="0"/>
          <w:w w:val="97"/>
          <w:sz w:val="32"/>
        </w:rPr>
        <w:t>位无其他用车。单价100万元（含）以上设备（不含车辆）0台（套）。</w:t>
      </w:r>
    </w:p>
    <w:p w14:paraId="148250EB">
      <w:pPr>
        <w:spacing w:line="640" w:lineRule="exact"/>
        <w:ind w:firstLine="640"/>
        <w:jc w:val="both"/>
        <w:outlineLvl w:val="2"/>
      </w:pPr>
      <w:r>
        <w:rPr>
          <w:rFonts w:ascii="黑体" w:hAnsi="黑体" w:eastAsia="黑体"/>
          <w:sz w:val="32"/>
        </w:rPr>
        <w:t>十一、预算绩效的情况说明</w:t>
      </w:r>
    </w:p>
    <w:p w14:paraId="1679673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147.70万元，实际执行总额147.70万元；预算绩效评价项目2个，全年预算数21.33万元，全年执行数21.33万元。预算绩效管理取得的成效：一是严格依照预算绩效管理规定使用预算资金，有效提高了本单位履职能效，较好</w:t>
      </w:r>
      <w:r>
        <w:rPr>
          <w:rFonts w:hint="eastAsia" w:ascii="仿宋_GB2312" w:hAnsi="仿宋_GB2312" w:eastAsia="仿宋_GB2312"/>
          <w:b w:val="0"/>
          <w:sz w:val="32"/>
          <w:lang w:eastAsia="zh-CN"/>
        </w:rPr>
        <w:t>地</w:t>
      </w:r>
      <w:r>
        <w:rPr>
          <w:rFonts w:ascii="仿宋_GB2312" w:hAnsi="仿宋_GB2312" w:eastAsia="仿宋_GB2312"/>
          <w:b w:val="0"/>
          <w:sz w:val="32"/>
        </w:rPr>
        <w:t>促进了档案事业的发展；二是通过预算绩效管理，规范了资金拨付审批程序，确保预算资金规范运行。发现的问题及原因：一是部分业务人员绩效管理意识有待加强，未能全面深入认识绩效管理工作的意义；二是绩效指标的明确性、可衡量性、相关性还需进一步提升，预算精细化管理还需完善，预算编制管理水平仍有进一步提升的空间。下一步改进措施：一是加强人员培训，进一步树牢绩效观念，提高工作人员绩效管理能力和管理水平；二是加强预算绩效目标管理，明确绩效目标编制要求，建立科学合理、细化量化、可比可测的预算绩效指标体系。具体附整体支出绩效自评表，项目支出绩效自评表和评价报告。</w:t>
      </w:r>
    </w:p>
    <w:p w14:paraId="6C407B7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D2BCEA6">
        <w:tblPrEx>
          <w:tblCellMar>
            <w:top w:w="0" w:type="dxa"/>
            <w:left w:w="108" w:type="dxa"/>
            <w:bottom w:w="0" w:type="dxa"/>
            <w:right w:w="108" w:type="dxa"/>
          </w:tblCellMar>
        </w:tblPrEx>
        <w:tc>
          <w:tcPr>
            <w:tcW w:w="8840" w:type="dxa"/>
            <w:gridSpan w:val="8"/>
            <w:vAlign w:val="center"/>
          </w:tcPr>
          <w:p w14:paraId="0901DBDB">
            <w:pPr>
              <w:jc w:val="center"/>
            </w:pPr>
            <w:r>
              <w:rPr>
                <w:rFonts w:ascii="宋体" w:hAnsi="宋体" w:eastAsia="宋体"/>
                <w:sz w:val="24"/>
              </w:rPr>
              <w:t>单位整体支出绩效自评表</w:t>
            </w:r>
          </w:p>
        </w:tc>
      </w:tr>
      <w:tr w14:paraId="45F93B67">
        <w:tblPrEx>
          <w:tblCellMar>
            <w:top w:w="0" w:type="dxa"/>
            <w:left w:w="108" w:type="dxa"/>
            <w:bottom w:w="0" w:type="dxa"/>
            <w:right w:w="108" w:type="dxa"/>
          </w:tblCellMar>
        </w:tblPrEx>
        <w:tc>
          <w:tcPr>
            <w:tcW w:w="8840" w:type="dxa"/>
            <w:gridSpan w:val="8"/>
            <w:vAlign w:val="center"/>
          </w:tcPr>
          <w:p w14:paraId="7651FF9E">
            <w:pPr>
              <w:jc w:val="center"/>
            </w:pPr>
            <w:r>
              <w:rPr>
                <w:rFonts w:ascii="宋体" w:hAnsi="宋体" w:eastAsia="宋体"/>
                <w:sz w:val="24"/>
              </w:rPr>
              <w:t>（2024年度）</w:t>
            </w:r>
          </w:p>
        </w:tc>
      </w:tr>
      <w:tr w14:paraId="13FCA97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BEC2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C0A64">
            <w:pPr>
              <w:jc w:val="center"/>
            </w:pPr>
            <w:r>
              <w:rPr>
                <w:rFonts w:ascii="宋体" w:hAnsi="宋体" w:eastAsia="宋体"/>
                <w:sz w:val="16"/>
              </w:rPr>
              <w:t>托里县档案馆</w:t>
            </w:r>
          </w:p>
        </w:tc>
      </w:tr>
      <w:tr w14:paraId="4653CA3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80FD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D963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BE9B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6ACF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A234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D4E3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116F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1DB09">
            <w:pPr>
              <w:jc w:val="center"/>
            </w:pPr>
            <w:r>
              <w:rPr>
                <w:rFonts w:ascii="宋体" w:hAnsi="宋体" w:eastAsia="宋体"/>
                <w:sz w:val="16"/>
              </w:rPr>
              <w:t>得分</w:t>
            </w:r>
          </w:p>
        </w:tc>
      </w:tr>
      <w:tr w14:paraId="5DA9AD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A145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6B07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7F283">
            <w:pPr>
              <w:jc w:val="center"/>
            </w:pPr>
            <w:r>
              <w:rPr>
                <w:rFonts w:ascii="宋体" w:hAnsi="宋体" w:eastAsia="宋体"/>
                <w:sz w:val="16"/>
              </w:rPr>
              <w:t>155.10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B93C4">
            <w:pPr>
              <w:jc w:val="center"/>
            </w:pPr>
            <w:r>
              <w:rPr>
                <w:rFonts w:ascii="宋体" w:hAnsi="宋体" w:eastAsia="宋体"/>
                <w:sz w:val="16"/>
              </w:rPr>
              <w:t>147.70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E7190">
            <w:pPr>
              <w:jc w:val="center"/>
            </w:pPr>
            <w:r>
              <w:rPr>
                <w:rFonts w:ascii="宋体" w:hAnsi="宋体" w:eastAsia="宋体"/>
                <w:sz w:val="16"/>
              </w:rPr>
              <w:t>147.70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CF1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41E9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B46A5">
            <w:pPr>
              <w:jc w:val="center"/>
            </w:pPr>
            <w:r>
              <w:rPr>
                <w:rFonts w:ascii="宋体" w:hAnsi="宋体" w:eastAsia="宋体"/>
                <w:sz w:val="16"/>
              </w:rPr>
              <w:t>10</w:t>
            </w:r>
          </w:p>
        </w:tc>
      </w:tr>
      <w:tr w14:paraId="341384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AA75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A9D7E">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7BC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A8E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C33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070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4FF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68909">
            <w:pPr>
              <w:jc w:val="center"/>
            </w:pPr>
            <w:r>
              <w:rPr>
                <w:rFonts w:ascii="宋体" w:hAnsi="宋体" w:eastAsia="宋体"/>
                <w:sz w:val="16"/>
              </w:rPr>
              <w:t>-</w:t>
            </w:r>
          </w:p>
        </w:tc>
      </w:tr>
      <w:tr w14:paraId="49170C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3E32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94A96">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BA987">
            <w:pPr>
              <w:jc w:val="center"/>
            </w:pPr>
            <w:r>
              <w:rPr>
                <w:rFonts w:ascii="宋体" w:hAnsi="宋体" w:eastAsia="宋体"/>
                <w:sz w:val="16"/>
              </w:rPr>
              <w:t>155.10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063BA">
            <w:pPr>
              <w:jc w:val="center"/>
            </w:pPr>
            <w:r>
              <w:rPr>
                <w:rFonts w:ascii="宋体" w:hAnsi="宋体" w:eastAsia="宋体"/>
                <w:sz w:val="16"/>
              </w:rPr>
              <w:t>145.50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75D98">
            <w:pPr>
              <w:jc w:val="center"/>
            </w:pPr>
            <w:r>
              <w:rPr>
                <w:rFonts w:ascii="宋体" w:hAnsi="宋体" w:eastAsia="宋体"/>
                <w:sz w:val="16"/>
              </w:rPr>
              <w:t>145.50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3EA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776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AA868">
            <w:pPr>
              <w:jc w:val="center"/>
            </w:pPr>
            <w:r>
              <w:rPr>
                <w:rFonts w:ascii="宋体" w:hAnsi="宋体" w:eastAsia="宋体"/>
                <w:sz w:val="16"/>
              </w:rPr>
              <w:t>-</w:t>
            </w:r>
          </w:p>
        </w:tc>
      </w:tr>
      <w:tr w14:paraId="1A1B2E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4C1E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CBAA3">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E717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ED0BD">
            <w:pPr>
              <w:jc w:val="center"/>
            </w:pPr>
            <w:r>
              <w:rPr>
                <w:rFonts w:ascii="宋体" w:hAnsi="宋体" w:eastAsia="宋体"/>
                <w:sz w:val="16"/>
              </w:rPr>
              <w:t>2.20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86745">
            <w:pPr>
              <w:jc w:val="center"/>
            </w:pPr>
            <w:r>
              <w:rPr>
                <w:rFonts w:ascii="宋体" w:hAnsi="宋体" w:eastAsia="宋体"/>
                <w:sz w:val="16"/>
              </w:rPr>
              <w:t>2.20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8E5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B0E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A20AD">
            <w:pPr>
              <w:jc w:val="center"/>
            </w:pPr>
            <w:r>
              <w:rPr>
                <w:rFonts w:ascii="宋体" w:hAnsi="宋体" w:eastAsia="宋体"/>
                <w:sz w:val="16"/>
              </w:rPr>
              <w:t>-</w:t>
            </w:r>
          </w:p>
        </w:tc>
      </w:tr>
      <w:tr w14:paraId="436375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5A2AE">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8A18E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02400E">
            <w:pPr>
              <w:jc w:val="center"/>
            </w:pPr>
            <w:r>
              <w:rPr>
                <w:rFonts w:ascii="宋体" w:hAnsi="宋体" w:eastAsia="宋体"/>
                <w:sz w:val="16"/>
              </w:rPr>
              <w:t>实际完成情况</w:t>
            </w:r>
          </w:p>
        </w:tc>
      </w:tr>
      <w:tr w14:paraId="64A8DF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85C2F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D144ED">
            <w:pPr>
              <w:jc w:val="both"/>
            </w:pPr>
            <w:r>
              <w:rPr>
                <w:rFonts w:ascii="宋体" w:hAnsi="宋体" w:eastAsia="宋体"/>
                <w:sz w:val="16"/>
              </w:rPr>
              <w:t>做好馆藏档案整理维护，加强档案资源利用、安全、治理体系建设。加快馆藏档案数字化进程，馆藏档案数字化率80%以上，收集、整理、保管托里县委、县政府及其职能部门已公开的</w:t>
            </w:r>
            <w:r>
              <w:rPr>
                <w:rFonts w:hint="eastAsia" w:ascii="宋体" w:hAnsi="宋体"/>
                <w:sz w:val="16"/>
                <w:lang w:eastAsia="zh-CN"/>
              </w:rPr>
              <w:t>政策</w:t>
            </w:r>
            <w:r>
              <w:rPr>
                <w:rFonts w:ascii="宋体" w:hAnsi="宋体" w:eastAsia="宋体"/>
                <w:sz w:val="16"/>
              </w:rPr>
              <w:t>性、法规性、公益性文件资料，开放档案目录数50条以上，并及时向社会各界及普通民众提供查阅利用、咨询服务，全年接待档案查阅利用人数不少于300人次。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E2852B">
            <w:pPr>
              <w:jc w:val="both"/>
            </w:pPr>
            <w:r>
              <w:rPr>
                <w:rFonts w:ascii="宋体" w:hAnsi="宋体" w:eastAsia="宋体"/>
                <w:sz w:val="16"/>
              </w:rPr>
              <w:t>做好馆藏档案整理维护，加强档案资源利用、安全、治理体系建设。加快馆藏档案数字化进程，馆藏档案数字化率达82%，收集、整理、保管托里县委、县政府及其职能部门已公开的</w:t>
            </w:r>
            <w:r>
              <w:rPr>
                <w:rFonts w:hint="eastAsia" w:ascii="宋体" w:hAnsi="宋体"/>
                <w:sz w:val="16"/>
                <w:lang w:eastAsia="zh-CN"/>
              </w:rPr>
              <w:t>政策</w:t>
            </w:r>
            <w:r>
              <w:rPr>
                <w:rFonts w:ascii="宋体" w:hAnsi="宋体" w:eastAsia="宋体"/>
                <w:sz w:val="16"/>
              </w:rPr>
              <w:t>性、法规性、公益性文件资料接收移交到期档案的县直单位37家，开放档案目录数76条，并及时向社会各界及普通民众提供查阅利用、咨询服务，全年接待档案查阅利用人员378人次。</w:t>
            </w:r>
          </w:p>
        </w:tc>
      </w:tr>
      <w:tr w14:paraId="62676E9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D3E7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BD93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EAC3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1E7D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8E953">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C86E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B5CD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2F362">
            <w:pPr>
              <w:jc w:val="center"/>
            </w:pPr>
            <w:r>
              <w:rPr>
                <w:rFonts w:ascii="宋体" w:hAnsi="宋体" w:eastAsia="宋体"/>
                <w:sz w:val="16"/>
              </w:rPr>
              <w:t>得分</w:t>
            </w:r>
          </w:p>
        </w:tc>
      </w:tr>
      <w:tr w14:paraId="38AE17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B9F6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DD0F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FFEF7">
            <w:pPr>
              <w:jc w:val="center"/>
            </w:pPr>
            <w:r>
              <w:rPr>
                <w:rFonts w:ascii="宋体" w:hAnsi="宋体" w:eastAsia="宋体"/>
                <w:sz w:val="16"/>
              </w:rPr>
              <w:t>接收档案合格率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B8A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F4472">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E748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8A3A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9735E">
            <w:pPr>
              <w:jc w:val="center"/>
            </w:pPr>
            <w:r>
              <w:rPr>
                <w:rFonts w:ascii="宋体" w:hAnsi="宋体" w:eastAsia="宋体"/>
                <w:sz w:val="16"/>
              </w:rPr>
              <w:t>18</w:t>
            </w:r>
          </w:p>
        </w:tc>
      </w:tr>
      <w:tr w14:paraId="2B44AC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8CA5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F723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E9983">
            <w:pPr>
              <w:jc w:val="center"/>
            </w:pPr>
            <w:r>
              <w:rPr>
                <w:rFonts w:ascii="宋体" w:hAnsi="宋体" w:eastAsia="宋体"/>
                <w:sz w:val="16"/>
              </w:rPr>
              <w:t>移交到期档案的县直单位数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BDEFD">
            <w:pPr>
              <w:jc w:val="center"/>
            </w:pPr>
            <w:r>
              <w:rPr>
                <w:rFonts w:ascii="宋体" w:hAnsi="宋体" w:eastAsia="宋体"/>
                <w:sz w:val="16"/>
              </w:rPr>
              <w:t>&gt;=37家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C38D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F7C3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20222">
            <w:pPr>
              <w:jc w:val="center"/>
            </w:pPr>
            <w:r>
              <w:rPr>
                <w:rFonts w:ascii="宋体" w:hAnsi="宋体" w:eastAsia="宋体"/>
                <w:sz w:val="16"/>
              </w:rPr>
              <w:t>37家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0EF3C">
            <w:pPr>
              <w:jc w:val="center"/>
            </w:pPr>
            <w:r>
              <w:rPr>
                <w:rFonts w:ascii="宋体" w:hAnsi="宋体" w:eastAsia="宋体"/>
                <w:sz w:val="16"/>
              </w:rPr>
              <w:t>18</w:t>
            </w:r>
          </w:p>
        </w:tc>
      </w:tr>
      <w:tr w14:paraId="1B20A8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3311F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65CB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B0016">
            <w:pPr>
              <w:jc w:val="center"/>
            </w:pPr>
            <w:r>
              <w:rPr>
                <w:rFonts w:ascii="宋体" w:hAnsi="宋体" w:eastAsia="宋体"/>
                <w:sz w:val="16"/>
              </w:rPr>
              <w:t>开放档案目录数量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F3023">
            <w:pPr>
              <w:jc w:val="center"/>
            </w:pPr>
            <w:r>
              <w:rPr>
                <w:rFonts w:ascii="宋体" w:hAnsi="宋体" w:eastAsia="宋体"/>
                <w:sz w:val="16"/>
              </w:rPr>
              <w:t>&gt;=50条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D0893">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6312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16391">
            <w:pPr>
              <w:jc w:val="center"/>
            </w:pPr>
            <w:r>
              <w:rPr>
                <w:rFonts w:ascii="宋体" w:hAnsi="宋体" w:eastAsia="宋体"/>
                <w:sz w:val="16"/>
              </w:rPr>
              <w:t>76条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CBA0E">
            <w:pPr>
              <w:jc w:val="center"/>
            </w:pPr>
            <w:r>
              <w:rPr>
                <w:rFonts w:ascii="宋体" w:hAnsi="宋体" w:eastAsia="宋体"/>
                <w:sz w:val="16"/>
              </w:rPr>
              <w:t>18</w:t>
            </w:r>
          </w:p>
        </w:tc>
      </w:tr>
      <w:tr w14:paraId="0B0951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0044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D88F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EC36C">
            <w:pPr>
              <w:jc w:val="center"/>
            </w:pPr>
            <w:r>
              <w:rPr>
                <w:rFonts w:ascii="宋体" w:hAnsi="宋体" w:eastAsia="宋体"/>
                <w:sz w:val="16"/>
              </w:rPr>
              <w:t>档案查阅利用人次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B98D0">
            <w:pPr>
              <w:jc w:val="center"/>
            </w:pPr>
            <w:r>
              <w:rPr>
                <w:rFonts w:ascii="宋体" w:hAnsi="宋体" w:eastAsia="宋体"/>
                <w:sz w:val="16"/>
              </w:rPr>
              <w:t>&gt;=300人次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D6C52">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7255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16B74">
            <w:pPr>
              <w:jc w:val="center"/>
            </w:pPr>
            <w:r>
              <w:rPr>
                <w:rFonts w:ascii="宋体" w:hAnsi="宋体" w:eastAsia="宋体"/>
                <w:sz w:val="16"/>
              </w:rPr>
              <w:t>378人次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85266">
            <w:pPr>
              <w:jc w:val="center"/>
            </w:pPr>
            <w:r>
              <w:rPr>
                <w:rFonts w:ascii="宋体" w:hAnsi="宋体" w:eastAsia="宋体"/>
                <w:sz w:val="16"/>
              </w:rPr>
              <w:t>18</w:t>
            </w:r>
          </w:p>
        </w:tc>
      </w:tr>
      <w:tr w14:paraId="5ADA5A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B439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C89F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681F2">
            <w:pPr>
              <w:jc w:val="center"/>
            </w:pPr>
            <w:r>
              <w:rPr>
                <w:rFonts w:ascii="宋体" w:hAnsi="宋体" w:eastAsia="宋体"/>
                <w:sz w:val="16"/>
              </w:rPr>
              <w:t>馆藏档案数字化率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7045A">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D490F">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0405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E4B95">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96933">
            <w:pPr>
              <w:jc w:val="center"/>
            </w:pPr>
            <w:r>
              <w:rPr>
                <w:rFonts w:ascii="宋体" w:hAnsi="宋体" w:eastAsia="宋体"/>
                <w:sz w:val="16"/>
              </w:rPr>
              <w:t>18</w:t>
            </w:r>
          </w:p>
        </w:tc>
      </w:tr>
    </w:tbl>
    <w:p w14:paraId="4B756D0C">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856"/>
        <w:gridCol w:w="595"/>
        <w:gridCol w:w="595"/>
        <w:gridCol w:w="607"/>
        <w:gridCol w:w="595"/>
        <w:gridCol w:w="607"/>
        <w:gridCol w:w="856"/>
        <w:gridCol w:w="618"/>
        <w:gridCol w:w="697"/>
        <w:gridCol w:w="631"/>
      </w:tblGrid>
      <w:tr w14:paraId="5E971D46">
        <w:tblPrEx>
          <w:tblCellMar>
            <w:top w:w="0" w:type="dxa"/>
            <w:left w:w="108" w:type="dxa"/>
            <w:bottom w:w="0" w:type="dxa"/>
            <w:right w:w="108" w:type="dxa"/>
          </w:tblCellMar>
        </w:tblPrEx>
        <w:tc>
          <w:tcPr>
            <w:tcW w:w="8848" w:type="dxa"/>
            <w:gridSpan w:val="14"/>
            <w:vAlign w:val="center"/>
          </w:tcPr>
          <w:p w14:paraId="3CC5B05F">
            <w:pPr>
              <w:jc w:val="center"/>
            </w:pPr>
            <w:r>
              <w:rPr>
                <w:rFonts w:ascii="宋体" w:hAnsi="宋体" w:eastAsia="宋体"/>
                <w:sz w:val="24"/>
              </w:rPr>
              <w:t>项目支出绩效自评表</w:t>
            </w:r>
          </w:p>
        </w:tc>
      </w:tr>
      <w:tr w14:paraId="5E070FA2">
        <w:tblPrEx>
          <w:tblCellMar>
            <w:top w:w="0" w:type="dxa"/>
            <w:left w:w="108" w:type="dxa"/>
            <w:bottom w:w="0" w:type="dxa"/>
            <w:right w:w="108" w:type="dxa"/>
          </w:tblCellMar>
        </w:tblPrEx>
        <w:tc>
          <w:tcPr>
            <w:tcW w:w="8848" w:type="dxa"/>
            <w:gridSpan w:val="14"/>
            <w:vAlign w:val="center"/>
          </w:tcPr>
          <w:p w14:paraId="50D1F4CD">
            <w:pPr>
              <w:jc w:val="center"/>
            </w:pPr>
            <w:r>
              <w:rPr>
                <w:rFonts w:ascii="宋体" w:hAnsi="宋体" w:eastAsia="宋体"/>
                <w:sz w:val="24"/>
              </w:rPr>
              <w:t>(2024年度)</w:t>
            </w:r>
          </w:p>
        </w:tc>
      </w:tr>
      <w:tr w14:paraId="5100F5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6A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E80205">
            <w:pPr>
              <w:jc w:val="center"/>
            </w:pPr>
            <w:r>
              <w:rPr>
                <w:rFonts w:ascii="宋体" w:hAnsi="宋体" w:eastAsia="宋体"/>
                <w:sz w:val="16"/>
              </w:rPr>
              <w:t>2024年中小企业项目-托里县档案馆办公楼供热管线改造及更换工程</w:t>
            </w:r>
          </w:p>
        </w:tc>
      </w:tr>
      <w:tr w14:paraId="20FF4C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03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8B4496">
            <w:pPr>
              <w:jc w:val="center"/>
            </w:pPr>
            <w:r>
              <w:rPr>
                <w:rFonts w:ascii="宋体" w:hAnsi="宋体" w:eastAsia="宋体"/>
                <w:sz w:val="16"/>
              </w:rPr>
              <w:t>托里县档案馆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94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0CC348">
            <w:pPr>
              <w:jc w:val="center"/>
            </w:pPr>
            <w:r>
              <w:rPr>
                <w:rFonts w:ascii="宋体" w:hAnsi="宋体" w:eastAsia="宋体"/>
                <w:sz w:val="16"/>
              </w:rPr>
              <w:t>托里县档案馆</w:t>
            </w:r>
          </w:p>
        </w:tc>
      </w:tr>
      <w:tr w14:paraId="4981F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7C5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E7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1FA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A92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7E2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2FD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CA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67FB">
            <w:pPr>
              <w:jc w:val="center"/>
            </w:pPr>
            <w:r>
              <w:rPr>
                <w:rFonts w:ascii="宋体" w:hAnsi="宋体" w:eastAsia="宋体"/>
                <w:sz w:val="16"/>
              </w:rPr>
              <w:t>得分</w:t>
            </w:r>
          </w:p>
        </w:tc>
      </w:tr>
      <w:tr w14:paraId="05EC9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7CD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22D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70B36">
            <w:pPr>
              <w:jc w:val="center"/>
            </w:pPr>
            <w:r>
              <w:rPr>
                <w:rFonts w:ascii="宋体" w:hAnsi="宋体" w:eastAsia="宋体"/>
                <w:sz w:val="16"/>
              </w:rPr>
              <w:t>19.79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2D75D">
            <w:pPr>
              <w:jc w:val="center"/>
            </w:pPr>
            <w:r>
              <w:rPr>
                <w:rFonts w:ascii="宋体" w:hAnsi="宋体" w:eastAsia="宋体"/>
                <w:sz w:val="16"/>
              </w:rPr>
              <w:t>19.79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F35A">
            <w:pPr>
              <w:jc w:val="center"/>
            </w:pPr>
            <w:r>
              <w:rPr>
                <w:rFonts w:ascii="宋体" w:hAnsi="宋体" w:eastAsia="宋体"/>
                <w:sz w:val="16"/>
              </w:rPr>
              <w:t>19.79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6BE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96B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D26B">
            <w:pPr>
              <w:jc w:val="center"/>
            </w:pPr>
            <w:r>
              <w:rPr>
                <w:rFonts w:ascii="宋体" w:hAnsi="宋体" w:eastAsia="宋体"/>
                <w:sz w:val="16"/>
              </w:rPr>
              <w:t>10.00</w:t>
            </w:r>
          </w:p>
        </w:tc>
      </w:tr>
      <w:tr w14:paraId="27D97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4D6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DB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57296">
            <w:pPr>
              <w:jc w:val="center"/>
            </w:pPr>
            <w:r>
              <w:rPr>
                <w:rFonts w:ascii="宋体" w:hAnsi="宋体" w:eastAsia="宋体"/>
                <w:sz w:val="16"/>
              </w:rPr>
              <w:t>19.79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298AE">
            <w:pPr>
              <w:jc w:val="center"/>
            </w:pPr>
            <w:r>
              <w:rPr>
                <w:rFonts w:ascii="宋体" w:hAnsi="宋体" w:eastAsia="宋体"/>
                <w:sz w:val="16"/>
              </w:rPr>
              <w:t>19.79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15F1">
            <w:pPr>
              <w:jc w:val="center"/>
            </w:pPr>
            <w:r>
              <w:rPr>
                <w:rFonts w:ascii="宋体" w:hAnsi="宋体" w:eastAsia="宋体"/>
                <w:sz w:val="16"/>
              </w:rPr>
              <w:t>19.79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568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53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0038">
            <w:pPr>
              <w:jc w:val="center"/>
            </w:pPr>
            <w:r>
              <w:rPr>
                <w:rFonts w:ascii="宋体" w:hAnsi="宋体" w:eastAsia="宋体"/>
                <w:sz w:val="16"/>
              </w:rPr>
              <w:t>—</w:t>
            </w:r>
          </w:p>
        </w:tc>
      </w:tr>
      <w:tr w14:paraId="32F3C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A07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89C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8A6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6A3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CC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FB4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03E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C102">
            <w:pPr>
              <w:jc w:val="center"/>
            </w:pPr>
            <w:r>
              <w:rPr>
                <w:rFonts w:ascii="宋体" w:hAnsi="宋体" w:eastAsia="宋体"/>
                <w:sz w:val="16"/>
              </w:rPr>
              <w:t>—</w:t>
            </w:r>
          </w:p>
        </w:tc>
      </w:tr>
      <w:tr w14:paraId="09E4DF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D499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DD2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F5B82C">
            <w:pPr>
              <w:jc w:val="center"/>
            </w:pPr>
            <w:r>
              <w:rPr>
                <w:rFonts w:ascii="宋体" w:hAnsi="宋体" w:eastAsia="宋体"/>
                <w:sz w:val="16"/>
              </w:rPr>
              <w:t>实际完成情况</w:t>
            </w:r>
          </w:p>
        </w:tc>
      </w:tr>
      <w:tr w14:paraId="20E12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A17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8BF07A">
            <w:pPr>
              <w:jc w:val="both"/>
            </w:pPr>
            <w:r>
              <w:rPr>
                <w:rFonts w:ascii="宋体" w:hAnsi="宋体" w:eastAsia="宋体"/>
                <w:sz w:val="16"/>
              </w:rPr>
              <w:t>2024年中小企业项目-托里县档案馆办公楼供热管线改造及更换工程项目资金19.79万元，用于政府性基金，依照中小企业项目计划，开展托里县档案馆办公楼供热管线改造及更换工程。确保档案安全，确保档案馆库温度符合国家档案局《档案库房技术管理暂行规定》要求，确保档案馆工作人员工作环境。来访群众满意度95%，工作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318D82">
            <w:pPr>
              <w:jc w:val="both"/>
            </w:pPr>
            <w:r>
              <w:rPr>
                <w:rFonts w:ascii="宋体" w:hAnsi="宋体" w:eastAsia="宋体"/>
                <w:sz w:val="16"/>
              </w:rPr>
              <w:t>2024年中小企业项目-托里县档案馆办公楼供热管线改造及更换工程使用政府性基金19.79万元，依照中小企业项目计划，完成托里县档案馆办公楼供热管线改造及更换工程。确保档案安全，确保档案馆库温度符合国家档案局《档案库房技术管理暂行规定》要求，确保档案馆工作人员工作环境。来访群众满意度95%，工作人员满意度95%。</w:t>
            </w:r>
          </w:p>
        </w:tc>
      </w:tr>
      <w:tr w14:paraId="434801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736C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F6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C2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6C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B82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EE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F5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95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B6E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74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294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5CC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C24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DE8B">
            <w:pPr>
              <w:jc w:val="center"/>
            </w:pPr>
            <w:r>
              <w:rPr>
                <w:rFonts w:ascii="宋体" w:hAnsi="宋体" w:eastAsia="宋体"/>
                <w:sz w:val="16"/>
              </w:rPr>
              <w:t>偏差原因分析及改进措施</w:t>
            </w:r>
          </w:p>
        </w:tc>
      </w:tr>
      <w:tr w14:paraId="53A422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7E2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82B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35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867B">
            <w:pPr>
              <w:jc w:val="center"/>
            </w:pPr>
            <w:r>
              <w:rPr>
                <w:rFonts w:ascii="宋体" w:hAnsi="宋体" w:eastAsia="宋体"/>
                <w:sz w:val="16"/>
              </w:rPr>
              <w:t>采暖面积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8FC5">
            <w:pPr>
              <w:jc w:val="center"/>
            </w:pPr>
            <w:r>
              <w:rPr>
                <w:rFonts w:ascii="宋体" w:hAnsi="宋体" w:eastAsia="宋体"/>
                <w:sz w:val="16"/>
              </w:rPr>
              <w:t>=2314.11平方米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9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C72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2F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F4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1184">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D5CF">
            <w:pPr>
              <w:jc w:val="center"/>
            </w:pPr>
            <w:r>
              <w:rPr>
                <w:rFonts w:ascii="宋体" w:hAnsi="宋体" w:eastAsia="宋体"/>
                <w:sz w:val="16"/>
              </w:rPr>
              <w:t>=2314.11平方米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3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FA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D83B">
            <w:pPr>
              <w:jc w:val="center"/>
            </w:pPr>
          </w:p>
        </w:tc>
      </w:tr>
      <w:tr w14:paraId="69823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C9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EB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D5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1811">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3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6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201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8C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F6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FA51">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49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9F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1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A95E">
            <w:pPr>
              <w:jc w:val="center"/>
            </w:pPr>
          </w:p>
        </w:tc>
      </w:tr>
      <w:tr w14:paraId="52C50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CF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24F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650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8B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63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C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BB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DA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F0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721B">
            <w:pPr>
              <w:jc w:val="center"/>
            </w:pPr>
            <w:r>
              <w:rPr>
                <w:rFonts w:ascii="宋体" w:hAnsi="宋体" w:eastAsia="宋体"/>
                <w:sz w:val="16"/>
              </w:rPr>
              <w:t>说明材料,工作资料,原始凭证,正式材料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1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C9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E9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203A">
            <w:pPr>
              <w:jc w:val="center"/>
            </w:pPr>
          </w:p>
        </w:tc>
      </w:tr>
      <w:tr w14:paraId="41A32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78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8D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22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FF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2CD0">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62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FAD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C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0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F8C8">
            <w:pPr>
              <w:jc w:val="center"/>
            </w:pPr>
            <w:r>
              <w:rPr>
                <w:rFonts w:ascii="宋体" w:hAnsi="宋体" w:eastAsia="宋体"/>
                <w:sz w:val="16"/>
              </w:rPr>
              <w:t>原始凭证,说明材料,正式材料,工作资料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0F57">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5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7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57F7">
            <w:pPr>
              <w:jc w:val="center"/>
            </w:pPr>
          </w:p>
        </w:tc>
      </w:tr>
      <w:tr w14:paraId="12897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52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57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15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8073">
            <w:pPr>
              <w:jc w:val="center"/>
            </w:pPr>
            <w:r>
              <w:rPr>
                <w:rFonts w:ascii="宋体" w:hAnsi="宋体" w:eastAsia="宋体"/>
                <w:sz w:val="16"/>
              </w:rPr>
              <w:t>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4E4E">
            <w:pPr>
              <w:jc w:val="center"/>
            </w:pPr>
            <w:r>
              <w:rPr>
                <w:rFonts w:ascii="宋体" w:hAnsi="宋体" w:eastAsia="宋体"/>
                <w:sz w:val="16"/>
              </w:rPr>
              <w:t>&lt;=19.79万元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C7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A21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70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1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18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79A5">
            <w:pPr>
              <w:jc w:val="center"/>
            </w:pPr>
            <w:r>
              <w:rPr>
                <w:rFonts w:ascii="宋体" w:hAnsi="宋体" w:eastAsia="宋体"/>
                <w:sz w:val="16"/>
              </w:rPr>
              <w:t>=19.79万元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8B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4A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881A">
            <w:pPr>
              <w:jc w:val="center"/>
            </w:pPr>
          </w:p>
        </w:tc>
      </w:tr>
      <w:tr w14:paraId="24479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7F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7E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81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6729">
            <w:pPr>
              <w:jc w:val="center"/>
            </w:pPr>
            <w:r>
              <w:rPr>
                <w:rFonts w:ascii="宋体" w:hAnsi="宋体" w:eastAsia="宋体"/>
                <w:sz w:val="16"/>
              </w:rPr>
              <w:t>提升档案社会服务能效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E54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EC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AF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16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63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BE9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318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FF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5F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E34A">
            <w:pPr>
              <w:jc w:val="center"/>
            </w:pPr>
          </w:p>
        </w:tc>
      </w:tr>
      <w:tr w14:paraId="06C06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20F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BB8F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223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E4BC">
            <w:pPr>
              <w:jc w:val="center"/>
            </w:pPr>
            <w:r>
              <w:rPr>
                <w:rFonts w:ascii="宋体" w:hAnsi="宋体" w:eastAsia="宋体"/>
                <w:sz w:val="16"/>
              </w:rPr>
              <w:t>来访群众满意度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9B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C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43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B9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8A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EC4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02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71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FD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34BD">
            <w:pPr>
              <w:jc w:val="center"/>
            </w:pPr>
          </w:p>
        </w:tc>
      </w:tr>
      <w:tr w14:paraId="5CA46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E3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96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95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B1D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4A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B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39D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CE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9C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9FC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52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4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17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757A">
            <w:pPr>
              <w:jc w:val="center"/>
            </w:pPr>
          </w:p>
        </w:tc>
      </w:tr>
      <w:tr w14:paraId="258BC06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525B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38CA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A51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BA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4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83C7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961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0838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230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208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948B4"/>
        </w:tc>
      </w:tr>
    </w:tbl>
    <w:p w14:paraId="761370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DD9F475">
        <w:tblPrEx>
          <w:tblCellMar>
            <w:top w:w="0" w:type="dxa"/>
            <w:left w:w="108" w:type="dxa"/>
            <w:bottom w:w="0" w:type="dxa"/>
            <w:right w:w="108" w:type="dxa"/>
          </w:tblCellMar>
        </w:tblPrEx>
        <w:tc>
          <w:tcPr>
            <w:tcW w:w="8848" w:type="dxa"/>
            <w:gridSpan w:val="14"/>
            <w:vAlign w:val="center"/>
          </w:tcPr>
          <w:p w14:paraId="2AC1541F">
            <w:pPr>
              <w:jc w:val="center"/>
            </w:pPr>
            <w:r>
              <w:rPr>
                <w:rFonts w:ascii="宋体" w:hAnsi="宋体" w:eastAsia="宋体"/>
                <w:sz w:val="24"/>
              </w:rPr>
              <w:t>项目支出绩效自评表</w:t>
            </w:r>
          </w:p>
        </w:tc>
      </w:tr>
      <w:tr w14:paraId="465D8F39">
        <w:tblPrEx>
          <w:tblCellMar>
            <w:top w:w="0" w:type="dxa"/>
            <w:left w:w="108" w:type="dxa"/>
            <w:bottom w:w="0" w:type="dxa"/>
            <w:right w:w="108" w:type="dxa"/>
          </w:tblCellMar>
        </w:tblPrEx>
        <w:tc>
          <w:tcPr>
            <w:tcW w:w="8848" w:type="dxa"/>
            <w:gridSpan w:val="14"/>
            <w:vAlign w:val="center"/>
          </w:tcPr>
          <w:p w14:paraId="30353AC6">
            <w:pPr>
              <w:jc w:val="center"/>
            </w:pPr>
            <w:r>
              <w:rPr>
                <w:rFonts w:ascii="宋体" w:hAnsi="宋体" w:eastAsia="宋体"/>
                <w:sz w:val="24"/>
              </w:rPr>
              <w:t>(2024年度)</w:t>
            </w:r>
          </w:p>
        </w:tc>
      </w:tr>
      <w:tr w14:paraId="1E519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6B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1F718C">
            <w:pPr>
              <w:jc w:val="center"/>
            </w:pPr>
            <w:r>
              <w:rPr>
                <w:rFonts w:ascii="宋体" w:hAnsi="宋体" w:eastAsia="宋体"/>
                <w:sz w:val="16"/>
              </w:rPr>
              <w:t>地方专项，2024年其他项目类-托里县档案局档案馆（库）设计费</w:t>
            </w:r>
          </w:p>
        </w:tc>
      </w:tr>
      <w:tr w14:paraId="69E07F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12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0B8CFB">
            <w:pPr>
              <w:jc w:val="center"/>
            </w:pPr>
            <w:r>
              <w:rPr>
                <w:rFonts w:ascii="宋体" w:hAnsi="宋体" w:eastAsia="宋体"/>
                <w:sz w:val="16"/>
              </w:rPr>
              <w:t>托里县档案馆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083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5CBE51">
            <w:pPr>
              <w:jc w:val="center"/>
            </w:pPr>
            <w:r>
              <w:rPr>
                <w:rFonts w:ascii="宋体" w:hAnsi="宋体" w:eastAsia="宋体"/>
                <w:sz w:val="16"/>
              </w:rPr>
              <w:t>托里县档案馆</w:t>
            </w:r>
          </w:p>
        </w:tc>
      </w:tr>
      <w:tr w14:paraId="463EF1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303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43D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BD0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F38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2BF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7D0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51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6EF9">
            <w:pPr>
              <w:jc w:val="center"/>
            </w:pPr>
            <w:r>
              <w:rPr>
                <w:rFonts w:ascii="宋体" w:hAnsi="宋体" w:eastAsia="宋体"/>
                <w:sz w:val="16"/>
              </w:rPr>
              <w:t>得分</w:t>
            </w:r>
          </w:p>
        </w:tc>
      </w:tr>
      <w:tr w14:paraId="0A485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9C5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3B6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2A6A5">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6C195">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4E801">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1C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2F5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E523">
            <w:pPr>
              <w:jc w:val="center"/>
            </w:pPr>
            <w:r>
              <w:rPr>
                <w:rFonts w:ascii="宋体" w:hAnsi="宋体" w:eastAsia="宋体"/>
                <w:sz w:val="16"/>
              </w:rPr>
              <w:t>10.00</w:t>
            </w:r>
          </w:p>
        </w:tc>
      </w:tr>
      <w:tr w14:paraId="22D41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669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836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7D8C2">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9E0EA">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86B1">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FA1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BA8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7E37">
            <w:pPr>
              <w:jc w:val="center"/>
            </w:pPr>
            <w:r>
              <w:rPr>
                <w:rFonts w:ascii="宋体" w:hAnsi="宋体" w:eastAsia="宋体"/>
                <w:sz w:val="16"/>
              </w:rPr>
              <w:t>—</w:t>
            </w:r>
          </w:p>
        </w:tc>
      </w:tr>
      <w:tr w14:paraId="49F32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2B2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93A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82A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F76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AA9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975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192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C784">
            <w:pPr>
              <w:jc w:val="center"/>
            </w:pPr>
            <w:r>
              <w:rPr>
                <w:rFonts w:ascii="宋体" w:hAnsi="宋体" w:eastAsia="宋体"/>
                <w:sz w:val="16"/>
              </w:rPr>
              <w:t>—</w:t>
            </w:r>
          </w:p>
        </w:tc>
      </w:tr>
      <w:tr w14:paraId="619A35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EACB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8C1B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AF7056">
            <w:pPr>
              <w:jc w:val="center"/>
            </w:pPr>
            <w:r>
              <w:rPr>
                <w:rFonts w:ascii="宋体" w:hAnsi="宋体" w:eastAsia="宋体"/>
                <w:sz w:val="16"/>
              </w:rPr>
              <w:t>实际完成情况</w:t>
            </w:r>
          </w:p>
        </w:tc>
      </w:tr>
      <w:tr w14:paraId="49B7F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7B8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9A493">
            <w:pPr>
              <w:jc w:val="both"/>
            </w:pPr>
            <w:r>
              <w:rPr>
                <w:rFonts w:ascii="宋体" w:hAnsi="宋体" w:eastAsia="宋体"/>
                <w:sz w:val="16"/>
              </w:rPr>
              <w:t>地方专项，2024年其他项目类-托里县档案局档案馆（库）设计费资金1.54万元，用于进行托里县档案局档案馆（库）</w:t>
            </w:r>
            <w:r>
              <w:rPr>
                <w:rFonts w:hint="eastAsia" w:ascii="宋体" w:hAnsi="宋体"/>
                <w:sz w:val="16"/>
                <w:lang w:eastAsia="zh-CN"/>
              </w:rPr>
              <w:t>设计</w:t>
            </w:r>
            <w:r>
              <w:rPr>
                <w:rFonts w:ascii="宋体" w:hAnsi="宋体" w:eastAsia="宋体"/>
                <w:sz w:val="16"/>
              </w:rPr>
              <w:t>，确保设计符合《档案馆建设标准》和《档案馆建筑设计规范》，为档案馆建设奠定基础，提升档案综合服务能力。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A63788">
            <w:pPr>
              <w:jc w:val="both"/>
            </w:pPr>
            <w:r>
              <w:rPr>
                <w:rFonts w:ascii="宋体" w:hAnsi="宋体" w:eastAsia="宋体"/>
                <w:sz w:val="16"/>
              </w:rPr>
              <w:t>地方专项，2024年其他项目类-托里县档案局档案馆（库）设计费资金1.54万元，</w:t>
            </w:r>
            <w:bookmarkStart w:id="0" w:name="_GoBack"/>
            <w:r>
              <w:rPr>
                <w:rFonts w:hint="eastAsia" w:ascii="宋体" w:hAnsi="宋体"/>
                <w:sz w:val="16"/>
                <w:lang w:eastAsia="zh-CN"/>
              </w:rPr>
              <w:t>截至</w:t>
            </w:r>
            <w:bookmarkEnd w:id="0"/>
            <w:r>
              <w:rPr>
                <w:rFonts w:ascii="宋体" w:hAnsi="宋体" w:eastAsia="宋体"/>
                <w:sz w:val="16"/>
              </w:rPr>
              <w:t>2024年8月31日，已支付1.54万元，执行率100%，完成进行托里县档案局档案馆（库）设计，设计符合《档案馆建设标准》和《档案馆建筑设计规范》，为档案馆建设奠定了基础。</w:t>
            </w:r>
          </w:p>
        </w:tc>
      </w:tr>
      <w:tr w14:paraId="2ACD56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2BA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4B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F9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AD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E9E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5B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8D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79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AE1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22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5F0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C9D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F8C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BE31">
            <w:pPr>
              <w:jc w:val="center"/>
            </w:pPr>
            <w:r>
              <w:rPr>
                <w:rFonts w:ascii="宋体" w:hAnsi="宋体" w:eastAsia="宋体"/>
                <w:sz w:val="16"/>
              </w:rPr>
              <w:t>偏差原因分析及改进措施</w:t>
            </w:r>
          </w:p>
        </w:tc>
      </w:tr>
      <w:tr w14:paraId="05BCA3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C1C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E8FC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1C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E8A5">
            <w:pPr>
              <w:jc w:val="center"/>
            </w:pPr>
            <w:r>
              <w:rPr>
                <w:rFonts w:ascii="宋体" w:hAnsi="宋体" w:eastAsia="宋体"/>
                <w:sz w:val="16"/>
              </w:rPr>
              <w:t>绘制档案馆设计图数量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D6D6">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F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28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D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4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689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2736">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6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D6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5FC3">
            <w:pPr>
              <w:jc w:val="center"/>
            </w:pPr>
          </w:p>
        </w:tc>
      </w:tr>
      <w:tr w14:paraId="7A8BD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3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41C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C2B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6D53">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9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7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D6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5C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2F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ADD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4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5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AC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EAD04">
            <w:pPr>
              <w:jc w:val="center"/>
            </w:pPr>
          </w:p>
        </w:tc>
      </w:tr>
      <w:tr w14:paraId="38614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4A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AD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B6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76CD">
            <w:pPr>
              <w:jc w:val="center"/>
            </w:pPr>
            <w:r>
              <w:rPr>
                <w:rFonts w:ascii="宋体" w:hAnsi="宋体" w:eastAsia="宋体"/>
                <w:sz w:val="16"/>
              </w:rPr>
              <w:t>建筑设计达标情况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7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6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3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A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8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765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7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1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9F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EDF6">
            <w:pPr>
              <w:jc w:val="center"/>
            </w:pPr>
          </w:p>
        </w:tc>
      </w:tr>
      <w:tr w14:paraId="26624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96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DF1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5E3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A7C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C8C7">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C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0E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0F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9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352D">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77F4">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4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4B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0EE6">
            <w:pPr>
              <w:jc w:val="center"/>
            </w:pPr>
          </w:p>
        </w:tc>
      </w:tr>
      <w:tr w14:paraId="5485E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EB8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44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DF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540B">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D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4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D2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0E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B3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7C1E">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8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FA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93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645D">
            <w:pPr>
              <w:jc w:val="center"/>
            </w:pPr>
          </w:p>
        </w:tc>
      </w:tr>
      <w:tr w14:paraId="43A2C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A1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00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EF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BEB6">
            <w:pPr>
              <w:jc w:val="center"/>
            </w:pPr>
            <w:r>
              <w:rPr>
                <w:rFonts w:ascii="宋体" w:hAnsi="宋体" w:eastAsia="宋体"/>
                <w:sz w:val="16"/>
              </w:rPr>
              <w:t>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6F1A">
            <w:pPr>
              <w:jc w:val="center"/>
            </w:pPr>
            <w:r>
              <w:rPr>
                <w:rFonts w:ascii="宋体" w:hAnsi="宋体" w:eastAsia="宋体"/>
                <w:sz w:val="16"/>
              </w:rPr>
              <w:t>&lt;=1.54万元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29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6A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7A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A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02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A287">
            <w:pPr>
              <w:jc w:val="center"/>
            </w:pPr>
            <w:r>
              <w:rPr>
                <w:rFonts w:ascii="宋体" w:hAnsi="宋体" w:eastAsia="宋体"/>
                <w:sz w:val="16"/>
              </w:rPr>
              <w: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9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EC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5613">
            <w:pPr>
              <w:jc w:val="center"/>
            </w:pPr>
          </w:p>
        </w:tc>
      </w:tr>
      <w:tr w14:paraId="536D8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F5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7D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36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187E">
            <w:pPr>
              <w:jc w:val="center"/>
            </w:pPr>
            <w:r>
              <w:rPr>
                <w:rFonts w:ascii="宋体" w:hAnsi="宋体" w:eastAsia="宋体"/>
                <w:sz w:val="16"/>
              </w:rPr>
              <w:t>提升档案综合服务能力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603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5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9D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034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BB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FA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33FA">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64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D79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DC1A">
            <w:pPr>
              <w:jc w:val="center"/>
            </w:pPr>
          </w:p>
        </w:tc>
      </w:tr>
      <w:tr w14:paraId="0EAB05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F515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8EC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0DEB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75C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3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45C2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BD18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325F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BC9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4FE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0DA580"/>
        </w:tc>
      </w:tr>
    </w:tbl>
    <w:p w14:paraId="09A2AB37">
      <w:r>
        <w:br w:type="page"/>
      </w:r>
    </w:p>
    <w:p w14:paraId="17BBE705">
      <w:pPr>
        <w:spacing w:line="640" w:lineRule="exact"/>
        <w:ind w:firstLine="640"/>
        <w:jc w:val="both"/>
        <w:outlineLvl w:val="2"/>
      </w:pPr>
      <w:r>
        <w:rPr>
          <w:rFonts w:ascii="黑体" w:hAnsi="黑体" w:eastAsia="黑体"/>
          <w:sz w:val="32"/>
        </w:rPr>
        <w:t>十二、其他需说明的事项</w:t>
      </w:r>
    </w:p>
    <w:p w14:paraId="4418ABF5">
      <w:pPr>
        <w:spacing w:line="580" w:lineRule="exact"/>
        <w:ind w:firstLine="640"/>
        <w:jc w:val="both"/>
      </w:pPr>
      <w:r>
        <w:rPr>
          <w:rFonts w:ascii="仿宋_GB2312" w:hAnsi="仿宋_GB2312" w:eastAsia="仿宋_GB2312"/>
          <w:b w:val="0"/>
          <w:sz w:val="32"/>
        </w:rPr>
        <w:t>本单位无其他需说明的事项。</w:t>
      </w:r>
    </w:p>
    <w:p w14:paraId="39EDCE59">
      <w:r>
        <w:br w:type="page"/>
      </w:r>
    </w:p>
    <w:p w14:paraId="1610012F">
      <w:pPr>
        <w:spacing w:line="240" w:lineRule="auto"/>
        <w:jc w:val="center"/>
        <w:outlineLvl w:val="1"/>
      </w:pPr>
      <w:r>
        <w:rPr>
          <w:rFonts w:ascii="黑体" w:hAnsi="黑体" w:eastAsia="黑体"/>
          <w:sz w:val="32"/>
        </w:rPr>
        <w:t>第三部分 专业名词解释</w:t>
      </w:r>
    </w:p>
    <w:p w14:paraId="3D0535A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1037D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97920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2976E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E6203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57C706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124B50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CF6BB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C730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4336C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9BF7F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95F8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44539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18EB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D829B59">
      <w:r>
        <w:br w:type="page"/>
      </w:r>
    </w:p>
    <w:p w14:paraId="2416124B">
      <w:pPr>
        <w:spacing w:line="240" w:lineRule="auto"/>
        <w:jc w:val="center"/>
        <w:outlineLvl w:val="1"/>
      </w:pPr>
      <w:r>
        <w:rPr>
          <w:rFonts w:ascii="黑体" w:hAnsi="黑体" w:eastAsia="黑体"/>
          <w:sz w:val="32"/>
        </w:rPr>
        <w:t>第四部分 部门决算报表（见附表）</w:t>
      </w:r>
    </w:p>
    <w:p w14:paraId="0E82A617">
      <w:pPr>
        <w:spacing w:line="240" w:lineRule="auto"/>
        <w:ind w:firstLine="640"/>
        <w:jc w:val="both"/>
      </w:pPr>
      <w:r>
        <w:rPr>
          <w:rFonts w:ascii="仿宋_GB2312" w:hAnsi="仿宋_GB2312" w:eastAsia="仿宋_GB2312"/>
          <w:b w:val="0"/>
          <w:sz w:val="32"/>
        </w:rPr>
        <w:t>一、《收入支出决算总表》</w:t>
      </w:r>
    </w:p>
    <w:p w14:paraId="7635ADA6">
      <w:pPr>
        <w:spacing w:line="240" w:lineRule="auto"/>
        <w:ind w:firstLine="640"/>
        <w:jc w:val="both"/>
      </w:pPr>
      <w:r>
        <w:rPr>
          <w:rFonts w:ascii="仿宋_GB2312" w:hAnsi="仿宋_GB2312" w:eastAsia="仿宋_GB2312"/>
          <w:b w:val="0"/>
          <w:sz w:val="32"/>
        </w:rPr>
        <w:t>二、《收入决算表》</w:t>
      </w:r>
    </w:p>
    <w:p w14:paraId="22CD38BF">
      <w:pPr>
        <w:spacing w:line="240" w:lineRule="auto"/>
        <w:ind w:firstLine="640"/>
        <w:jc w:val="both"/>
      </w:pPr>
      <w:r>
        <w:rPr>
          <w:rFonts w:ascii="仿宋_GB2312" w:hAnsi="仿宋_GB2312" w:eastAsia="仿宋_GB2312"/>
          <w:b w:val="0"/>
          <w:sz w:val="32"/>
        </w:rPr>
        <w:t>三、《支出决算表》</w:t>
      </w:r>
    </w:p>
    <w:p w14:paraId="3FD0363B">
      <w:pPr>
        <w:spacing w:line="240" w:lineRule="auto"/>
        <w:ind w:firstLine="640"/>
        <w:jc w:val="both"/>
      </w:pPr>
      <w:r>
        <w:rPr>
          <w:rFonts w:ascii="仿宋_GB2312" w:hAnsi="仿宋_GB2312" w:eastAsia="仿宋_GB2312"/>
          <w:b w:val="0"/>
          <w:sz w:val="32"/>
        </w:rPr>
        <w:t>四、《财政拨款收入支出决算总表》</w:t>
      </w:r>
    </w:p>
    <w:p w14:paraId="0F2B1D8C">
      <w:pPr>
        <w:spacing w:line="240" w:lineRule="auto"/>
        <w:ind w:firstLine="640"/>
        <w:jc w:val="both"/>
      </w:pPr>
      <w:r>
        <w:rPr>
          <w:rFonts w:ascii="仿宋_GB2312" w:hAnsi="仿宋_GB2312" w:eastAsia="仿宋_GB2312"/>
          <w:b w:val="0"/>
          <w:sz w:val="32"/>
        </w:rPr>
        <w:t>五、《一般公共预算财政拨款支出决算表》</w:t>
      </w:r>
    </w:p>
    <w:p w14:paraId="6D941886">
      <w:pPr>
        <w:spacing w:line="240" w:lineRule="auto"/>
        <w:ind w:firstLine="640"/>
        <w:jc w:val="both"/>
      </w:pPr>
      <w:r>
        <w:rPr>
          <w:rFonts w:ascii="仿宋_GB2312" w:hAnsi="仿宋_GB2312" w:eastAsia="仿宋_GB2312"/>
          <w:b w:val="0"/>
          <w:sz w:val="32"/>
        </w:rPr>
        <w:t>六、《一般公共预算财政拨款基本支出决算表》</w:t>
      </w:r>
    </w:p>
    <w:p w14:paraId="4DA1E7F0">
      <w:pPr>
        <w:spacing w:line="240" w:lineRule="auto"/>
        <w:ind w:firstLine="640"/>
        <w:jc w:val="both"/>
      </w:pPr>
      <w:r>
        <w:rPr>
          <w:rFonts w:ascii="仿宋_GB2312" w:hAnsi="仿宋_GB2312" w:eastAsia="仿宋_GB2312"/>
          <w:b w:val="0"/>
          <w:sz w:val="32"/>
        </w:rPr>
        <w:t>七、《政府性基金预算财政拨款收入支出决算表》</w:t>
      </w:r>
    </w:p>
    <w:p w14:paraId="2ADCE48B">
      <w:pPr>
        <w:spacing w:line="240" w:lineRule="auto"/>
        <w:ind w:firstLine="640"/>
        <w:jc w:val="both"/>
      </w:pPr>
      <w:r>
        <w:rPr>
          <w:rFonts w:ascii="仿宋_GB2312" w:hAnsi="仿宋_GB2312" w:eastAsia="仿宋_GB2312"/>
          <w:b w:val="0"/>
          <w:sz w:val="32"/>
        </w:rPr>
        <w:t>八、《国有资本经营预算财政拨款收入支出决算表》</w:t>
      </w:r>
    </w:p>
    <w:p w14:paraId="7EE6BAEC">
      <w:pPr>
        <w:spacing w:line="240" w:lineRule="auto"/>
        <w:ind w:firstLine="640"/>
        <w:jc w:val="both"/>
      </w:pPr>
      <w:r>
        <w:rPr>
          <w:rFonts w:ascii="仿宋_GB2312" w:hAnsi="仿宋_GB2312" w:eastAsia="仿宋_GB2312"/>
          <w:b w:val="0"/>
          <w:sz w:val="32"/>
        </w:rPr>
        <w:t>九、《财政拨款“三公”经费支出决算表》</w:t>
      </w:r>
    </w:p>
    <w:p w14:paraId="310266A3">
      <w:pPr>
        <w:spacing w:line="240" w:lineRule="auto"/>
        <w:ind w:firstLine="640"/>
        <w:jc w:val="both"/>
      </w:pPr>
    </w:p>
    <w:p w14:paraId="4D8FFF6D">
      <w:pPr>
        <w:spacing w:line="240" w:lineRule="auto"/>
        <w:ind w:firstLine="640"/>
        <w:jc w:val="both"/>
      </w:pPr>
    </w:p>
    <w:p w14:paraId="0B8250A3">
      <w:pPr>
        <w:spacing w:line="240" w:lineRule="auto"/>
        <w:ind w:firstLine="640"/>
        <w:jc w:val="both"/>
      </w:pPr>
    </w:p>
    <w:p w14:paraId="51BEB877">
      <w:pPr>
        <w:spacing w:line="240" w:lineRule="auto"/>
        <w:ind w:firstLine="640"/>
        <w:jc w:val="both"/>
      </w:pPr>
    </w:p>
    <w:p w14:paraId="329FC10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473DD9-3267-4043-A077-9BF5DE18A1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40537B2-3333-4D86-B51C-6AF2B48B0B23}"/>
  </w:font>
  <w:font w:name="仿宋_GB2312">
    <w:altName w:val="仿宋"/>
    <w:panose1 w:val="02010609030101010101"/>
    <w:charset w:val="86"/>
    <w:family w:val="modern"/>
    <w:pitch w:val="default"/>
    <w:sig w:usb0="00000000" w:usb1="00000000" w:usb2="00000000" w:usb3="00000000" w:csb0="00040000" w:csb1="00000000"/>
    <w:embedRegular r:id="rId3" w:fontKey="{C05E109B-253D-4D33-A3D8-A79894308898}"/>
  </w:font>
  <w:font w:name="楷体_GB2312">
    <w:altName w:val="楷体"/>
    <w:panose1 w:val="00000000000000000000"/>
    <w:charset w:val="00"/>
    <w:family w:val="auto"/>
    <w:pitch w:val="default"/>
    <w:sig w:usb0="00000000" w:usb1="00000000" w:usb2="00000000" w:usb3="00000000" w:csb0="00000000" w:csb1="00000000"/>
    <w:embedRegular r:id="rId4" w:fontKey="{CB6D76D2-2932-4931-865E-2F01A4EF6B32}"/>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4059C1"/>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4749</Words>
  <Characters>5460</Characters>
  <Lines>0</Lines>
  <Paragraphs>0</Paragraphs>
  <TotalTime>1</TotalTime>
  <ScaleCrop>false</ScaleCrop>
  <LinksUpToDate>false</LinksUpToDate>
  <CharactersWithSpaces>5468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2025-10-31T05:33:35Z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