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托里县文化馆2024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DE04BBD">
      <w:r>
        <w:br w:type="page"/>
      </w:r>
    </w:p>
    <w:p w14:paraId="1060B1AC">
      <w:pPr>
        <w:spacing w:line="640" w:lineRule="exact"/>
        <w:jc w:val="center"/>
        <w:outlineLvl w:val="1"/>
      </w:pPr>
      <w:r>
        <w:rPr>
          <w:rFonts w:ascii="黑体" w:hAnsi="黑体" w:eastAsia="黑体"/>
          <w:sz w:val="32"/>
        </w:rPr>
        <w:t>第一部分 单位概况</w:t>
      </w:r>
    </w:p>
    <w:p w14:paraId="0CFA462E">
      <w:pPr>
        <w:spacing w:line="640" w:lineRule="exact"/>
        <w:ind w:firstLine="640"/>
        <w:jc w:val="both"/>
        <w:outlineLvl w:val="2"/>
      </w:pPr>
      <w:r>
        <w:rPr>
          <w:rFonts w:ascii="黑体" w:hAnsi="黑体" w:eastAsia="黑体"/>
          <w:sz w:val="32"/>
        </w:rPr>
        <w:t>一、主要职能</w:t>
      </w:r>
    </w:p>
    <w:p w14:paraId="1D6878CB">
      <w:pPr>
        <w:spacing w:line="580" w:lineRule="exact"/>
        <w:ind w:firstLine="640"/>
        <w:jc w:val="both"/>
      </w:pPr>
      <w:r>
        <w:rPr>
          <w:rFonts w:ascii="仿宋_GB2312" w:hAnsi="仿宋_GB2312" w:eastAsia="仿宋_GB2312"/>
          <w:sz w:val="32"/>
        </w:rPr>
        <w:t>（一）举办各类展览、讲座、培训等，普及科学文化知识，开展社会教育，提高群众文化素质，促进当地精神文明建设。</w:t>
      </w:r>
    </w:p>
    <w:p w14:paraId="03D3AE8B">
      <w:pPr>
        <w:spacing w:line="580" w:lineRule="exact"/>
        <w:ind w:firstLine="640"/>
        <w:jc w:val="both"/>
      </w:pPr>
      <w:r>
        <w:rPr>
          <w:rFonts w:ascii="仿宋_GB2312" w:hAnsi="仿宋_GB2312" w:eastAsia="仿宋_GB2312"/>
          <w:sz w:val="32"/>
        </w:rPr>
        <w:t>（二）组织开展丰富多彩的、群众喜闻乐见的文化活动；开展流动文化服务；指导群众业余文艺团队建设，辅导和培训群众文艺骨干。</w:t>
      </w:r>
    </w:p>
    <w:p w14:paraId="5A6942BC">
      <w:pPr>
        <w:spacing w:line="580" w:lineRule="exact"/>
        <w:ind w:firstLine="640"/>
        <w:jc w:val="both"/>
      </w:pPr>
      <w:r>
        <w:rPr>
          <w:rFonts w:ascii="仿宋_GB2312" w:hAnsi="仿宋_GB2312" w:eastAsia="仿宋_GB2312"/>
          <w:sz w:val="32"/>
        </w:rPr>
        <w:t>（三）组织并指导群众文艺创作，开展群众文化工作理论研究。</w:t>
      </w:r>
    </w:p>
    <w:p w14:paraId="0B81C8F3">
      <w:pPr>
        <w:spacing w:line="580" w:lineRule="exact"/>
        <w:ind w:firstLine="640"/>
        <w:jc w:val="both"/>
      </w:pPr>
      <w:r>
        <w:rPr>
          <w:rFonts w:ascii="仿宋_GB2312" w:hAnsi="仿宋_GB2312" w:eastAsia="仿宋_GB2312"/>
          <w:sz w:val="32"/>
        </w:rPr>
        <w:t>（四）收集、整理、研究非物质文化遗产，开展非物质文化遗产的普查、展示、宣传活动，指导传承人开展传习活动。</w:t>
      </w:r>
    </w:p>
    <w:p w14:paraId="5B762EE8">
      <w:pPr>
        <w:spacing w:line="580" w:lineRule="exact"/>
        <w:ind w:firstLine="640"/>
        <w:jc w:val="both"/>
      </w:pPr>
      <w:r>
        <w:rPr>
          <w:rFonts w:ascii="仿宋_GB2312" w:hAnsi="仿宋_GB2312" w:eastAsia="仿宋_GB2312"/>
          <w:sz w:val="32"/>
        </w:rPr>
        <w:t>（五）建成全国文化信息资源共享工程基层服务点，开展数字文化信息服务。</w:t>
      </w:r>
    </w:p>
    <w:p w14:paraId="49CB1E5F">
      <w:pPr>
        <w:spacing w:line="580" w:lineRule="exact"/>
        <w:ind w:firstLine="640"/>
        <w:jc w:val="both"/>
      </w:pPr>
      <w:r>
        <w:rPr>
          <w:rFonts w:ascii="仿宋_GB2312" w:hAnsi="仿宋_GB2312" w:eastAsia="仿宋_GB2312"/>
          <w:sz w:val="32"/>
        </w:rPr>
        <w:t>（六）指导下一级文化馆（文化站、社区文化中心）工作，为下一级文化馆（文化站、社区文化中心）培训人员，并向下一级文化馆（文化站、社区文化中心）配送文化资源和文化服务。</w:t>
      </w:r>
    </w:p>
    <w:p w14:paraId="3D44F1F5">
      <w:pPr>
        <w:spacing w:line="580" w:lineRule="exact"/>
        <w:ind w:firstLine="640"/>
        <w:jc w:val="both"/>
      </w:pPr>
      <w:r>
        <w:rPr>
          <w:rFonts w:ascii="仿宋_GB2312" w:hAnsi="仿宋_GB2312" w:eastAsia="仿宋_GB2312"/>
          <w:sz w:val="32"/>
        </w:rPr>
        <w:t>（七）指导本县老年文化、老年教育、少儿文化工作。</w:t>
      </w:r>
    </w:p>
    <w:p w14:paraId="6E186E43">
      <w:pPr>
        <w:spacing w:line="580" w:lineRule="exact"/>
        <w:ind w:firstLine="640"/>
        <w:jc w:val="both"/>
      </w:pPr>
      <w:r>
        <w:rPr>
          <w:rFonts w:ascii="仿宋_GB2312" w:hAnsi="仿宋_GB2312" w:eastAsia="仿宋_GB2312"/>
          <w:sz w:val="32"/>
        </w:rPr>
        <w:t>（八）开展对外民间文化交流。</w:t>
      </w:r>
    </w:p>
    <w:p w14:paraId="13780771">
      <w:pPr>
        <w:spacing w:line="640" w:lineRule="exact"/>
        <w:ind w:firstLine="640"/>
        <w:jc w:val="both"/>
        <w:outlineLvl w:val="2"/>
      </w:pPr>
      <w:r>
        <w:rPr>
          <w:rFonts w:ascii="黑体" w:hAnsi="黑体" w:eastAsia="黑体"/>
          <w:sz w:val="32"/>
        </w:rPr>
        <w:t>二、机构设置及人员情况</w:t>
      </w:r>
    </w:p>
    <w:p w14:paraId="4490680F">
      <w:pPr>
        <w:spacing w:line="580" w:lineRule="exact"/>
        <w:ind w:firstLine="640"/>
        <w:jc w:val="both"/>
      </w:pPr>
      <w:r>
        <w:rPr>
          <w:rFonts w:ascii="仿宋_GB2312" w:hAnsi="仿宋_GB2312" w:eastAsia="仿宋_GB2312"/>
          <w:sz w:val="32"/>
        </w:rPr>
        <w:t>托里县文化馆2024年度，实有人数25人，其中：在职人员9人，减少1人；离休人员0人，增加0人；退休人员16人,增加1人。</w:t>
      </w:r>
    </w:p>
    <w:p w14:paraId="5DA38EFB">
      <w:pPr>
        <w:spacing w:line="580" w:lineRule="exact"/>
        <w:ind w:firstLine="640"/>
        <w:jc w:val="both"/>
      </w:pPr>
      <w:r>
        <w:rPr>
          <w:rFonts w:ascii="仿宋_GB2312" w:hAnsi="仿宋_GB2312" w:eastAsia="仿宋_GB2312"/>
          <w:sz w:val="32"/>
        </w:rPr>
        <w:t>托里县文化馆无下属预算单位，下设5个科室，分别是：群众文化室、美术室、非遗室、音乐室、财务室。</w:t>
      </w:r>
    </w:p>
    <w:p w14:paraId="7254042C">
      <w:r>
        <w:br w:type="page"/>
      </w:r>
    </w:p>
    <w:p w14:paraId="4A2B85C3">
      <w:pPr>
        <w:spacing w:line="240" w:lineRule="auto"/>
        <w:jc w:val="center"/>
        <w:outlineLvl w:val="1"/>
      </w:pPr>
      <w:r>
        <w:rPr>
          <w:rFonts w:ascii="黑体" w:hAnsi="黑体" w:eastAsia="黑体"/>
          <w:sz w:val="32"/>
        </w:rPr>
        <w:t>第二部分 部门决算情况说明</w:t>
      </w:r>
    </w:p>
    <w:p w14:paraId="4E1F6F9A">
      <w:pPr>
        <w:spacing w:line="640" w:lineRule="exact"/>
        <w:ind w:firstLine="640"/>
        <w:jc w:val="both"/>
        <w:outlineLvl w:val="2"/>
      </w:pPr>
      <w:r>
        <w:rPr>
          <w:rFonts w:ascii="黑体" w:hAnsi="黑体" w:eastAsia="黑体"/>
          <w:sz w:val="32"/>
        </w:rPr>
        <w:t>一、收入支出决算总体情况说明</w:t>
      </w:r>
    </w:p>
    <w:p w14:paraId="3127561C">
      <w:pPr>
        <w:spacing w:line="580" w:lineRule="exact"/>
        <w:ind w:firstLine="640"/>
        <w:jc w:val="both"/>
      </w:pPr>
      <w:r>
        <w:rPr>
          <w:rFonts w:ascii="仿宋_GB2312" w:hAnsi="仿宋_GB2312" w:eastAsia="仿宋_GB2312"/>
          <w:b/>
          <w:sz w:val="32"/>
        </w:rPr>
        <w:t>2024年度收入总计284.83万元，</w:t>
      </w:r>
      <w:r>
        <w:rPr>
          <w:rFonts w:ascii="仿宋_GB2312" w:hAnsi="仿宋_GB2312" w:eastAsia="仿宋_GB2312"/>
          <w:b w:val="0"/>
          <w:sz w:val="32"/>
        </w:rPr>
        <w:t>其中：本年收入合计284.83万元，使用非财政拨款结余（含专用结余）0.00万元，年初结转和结余0.00万元。</w:t>
      </w:r>
    </w:p>
    <w:p w14:paraId="170FF1FF">
      <w:pPr>
        <w:spacing w:line="580" w:lineRule="exact"/>
        <w:ind w:firstLine="640"/>
        <w:jc w:val="both"/>
      </w:pPr>
      <w:r>
        <w:rPr>
          <w:rFonts w:ascii="仿宋_GB2312" w:hAnsi="仿宋_GB2312" w:eastAsia="仿宋_GB2312"/>
          <w:b/>
          <w:sz w:val="32"/>
        </w:rPr>
        <w:t>2024年度支出总计284.83万元，</w:t>
      </w:r>
      <w:r>
        <w:rPr>
          <w:rFonts w:ascii="仿宋_GB2312" w:hAnsi="仿宋_GB2312" w:eastAsia="仿宋_GB2312"/>
          <w:b w:val="0"/>
          <w:sz w:val="32"/>
        </w:rPr>
        <w:t>其中：本年支出合计284.82万元，结余分配0.00万元，年末结转和结余0.00万元。</w:t>
      </w:r>
    </w:p>
    <w:p w14:paraId="36B83FE2">
      <w:pPr>
        <w:spacing w:line="580" w:lineRule="exact"/>
        <w:ind w:firstLine="640"/>
        <w:jc w:val="both"/>
      </w:pPr>
      <w:r>
        <w:rPr>
          <w:rFonts w:ascii="仿宋_GB2312" w:hAnsi="仿宋_GB2312" w:eastAsia="仿宋_GB2312"/>
          <w:b w:val="0"/>
          <w:sz w:val="32"/>
        </w:rPr>
        <w:t>收入支出总体与上年相比，增加9.11万元，增长3.30%，主要原因是：本年增加文化馆免费开放项目、2024年国家非物质文化遗产保护资金项目，导致经费较上年增加。</w:t>
      </w:r>
    </w:p>
    <w:p w14:paraId="0803D116">
      <w:pPr>
        <w:spacing w:line="640" w:lineRule="exact"/>
        <w:ind w:firstLine="640"/>
        <w:jc w:val="both"/>
        <w:outlineLvl w:val="2"/>
      </w:pPr>
      <w:r>
        <w:rPr>
          <w:rFonts w:ascii="黑体" w:hAnsi="黑体" w:eastAsia="黑体"/>
          <w:sz w:val="32"/>
        </w:rPr>
        <w:t>二、收入决算情况说明</w:t>
      </w:r>
    </w:p>
    <w:p w14:paraId="02B55F22">
      <w:pPr>
        <w:spacing w:line="580" w:lineRule="exact"/>
        <w:ind w:firstLine="640"/>
        <w:jc w:val="both"/>
      </w:pPr>
      <w:r>
        <w:rPr>
          <w:rFonts w:ascii="仿宋_GB2312" w:hAnsi="仿宋_GB2312" w:eastAsia="仿宋_GB2312"/>
          <w:b/>
          <w:sz w:val="32"/>
        </w:rPr>
        <w:t>本年收入284.83万元，</w:t>
      </w:r>
      <w:r>
        <w:rPr>
          <w:rFonts w:ascii="仿宋_GB2312" w:hAnsi="仿宋_GB2312" w:eastAsia="仿宋_GB2312"/>
          <w:b w:val="0"/>
          <w:sz w:val="32"/>
        </w:rPr>
        <w:t>其中：财政拨款收入284.82万元，占100.00%；上级补助收入0.00万元，占0.00%；事业收入0.00万元，占0.00%；经营收入0.00万元，占0.00%；附属单位上缴收入0.00万元，占0.00%；其他收入0.00万元，占0.00%。</w:t>
      </w:r>
    </w:p>
    <w:p w14:paraId="3AFADF94">
      <w:pPr>
        <w:spacing w:line="640" w:lineRule="exact"/>
        <w:ind w:firstLine="640"/>
        <w:jc w:val="both"/>
        <w:outlineLvl w:val="2"/>
      </w:pPr>
      <w:r>
        <w:rPr>
          <w:rFonts w:ascii="黑体" w:hAnsi="黑体" w:eastAsia="黑体"/>
          <w:sz w:val="32"/>
        </w:rPr>
        <w:t>三、支出决算情况说明</w:t>
      </w:r>
    </w:p>
    <w:p w14:paraId="7C5352A9">
      <w:pPr>
        <w:spacing w:line="580" w:lineRule="exact"/>
        <w:ind w:firstLine="640"/>
        <w:jc w:val="both"/>
      </w:pPr>
      <w:r>
        <w:rPr>
          <w:rFonts w:ascii="仿宋_GB2312" w:hAnsi="仿宋_GB2312" w:eastAsia="仿宋_GB2312"/>
          <w:b/>
          <w:sz w:val="32"/>
        </w:rPr>
        <w:t>本年支出284.82万元，</w:t>
      </w:r>
      <w:r>
        <w:rPr>
          <w:rFonts w:ascii="仿宋_GB2312" w:hAnsi="仿宋_GB2312" w:eastAsia="仿宋_GB2312"/>
          <w:b w:val="0"/>
          <w:sz w:val="32"/>
        </w:rPr>
        <w:t>其中：基本支出223.50万元，占78.47%；项目支出61.32万元，占21.53%；上缴上级支出0.00万元，占0.00%；经营支出0.00万元，占0.00%；对附属单位补助支出0.00万元，占0.00%。</w:t>
      </w:r>
    </w:p>
    <w:p w14:paraId="37B4D730">
      <w:pPr>
        <w:spacing w:line="640" w:lineRule="exact"/>
        <w:ind w:firstLine="640"/>
        <w:jc w:val="both"/>
        <w:outlineLvl w:val="2"/>
      </w:pPr>
      <w:r>
        <w:rPr>
          <w:rFonts w:ascii="黑体" w:hAnsi="黑体" w:eastAsia="黑体"/>
          <w:sz w:val="32"/>
        </w:rPr>
        <w:t>四、财政拨款收入支出决算总体情况说明</w:t>
      </w:r>
    </w:p>
    <w:p w14:paraId="624BBD9F">
      <w:pPr>
        <w:spacing w:line="580" w:lineRule="exact"/>
        <w:ind w:firstLine="640"/>
        <w:jc w:val="both"/>
      </w:pPr>
      <w:r>
        <w:rPr>
          <w:rFonts w:ascii="仿宋_GB2312" w:hAnsi="仿宋_GB2312" w:eastAsia="仿宋_GB2312"/>
          <w:b/>
          <w:sz w:val="32"/>
        </w:rPr>
        <w:t>2024年度财政拨款收入总计284.82万元，</w:t>
      </w:r>
      <w:r>
        <w:rPr>
          <w:rFonts w:ascii="仿宋_GB2312" w:hAnsi="仿宋_GB2312" w:eastAsia="仿宋_GB2312"/>
          <w:b w:val="0"/>
          <w:sz w:val="32"/>
        </w:rPr>
        <w:t>其中：年初财政拨款结转和结余0.00万元，本年财政拨款收入284.82万元。</w:t>
      </w:r>
      <w:r>
        <w:rPr>
          <w:rFonts w:ascii="仿宋_GB2312" w:hAnsi="仿宋_GB2312" w:eastAsia="仿宋_GB2312"/>
          <w:b/>
          <w:sz w:val="32"/>
        </w:rPr>
        <w:t>财政拨款支出总计284.82万元，</w:t>
      </w:r>
      <w:r>
        <w:rPr>
          <w:rFonts w:ascii="仿宋_GB2312" w:hAnsi="仿宋_GB2312" w:eastAsia="仿宋_GB2312"/>
          <w:b w:val="0"/>
          <w:sz w:val="32"/>
        </w:rPr>
        <w:t>其中：年末财政拨款结转和结余0.00万元，本年财政拨款支出284.82万元。</w:t>
      </w:r>
    </w:p>
    <w:p w14:paraId="77BFF48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增加9.10万元，增长3.30%，主要原因是：本年增加文化馆免费开放项目、2024年国家非物质文化遗产保护资金项目，导致经费较上年增加。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年初预算数248.85万元，决算数284.82万元，预决算差异率14.45%，主要原因是：年中追加文化馆免费开放项目、2024年</w:t>
      </w:r>
      <w:r>
        <w:rPr>
          <w:rFonts w:hint="eastAsia" w:ascii="仿宋_GB2312" w:hAnsi="仿宋_GB2312" w:eastAsia="仿宋_GB2312"/>
          <w:b w:val="0"/>
          <w:sz w:val="32"/>
          <w:lang w:eastAsia="zh-CN"/>
        </w:rPr>
        <w:t>国家级非物质文化遗产</w:t>
      </w:r>
      <w:r>
        <w:rPr>
          <w:rFonts w:ascii="仿宋_GB2312" w:hAnsi="仿宋_GB2312" w:eastAsia="仿宋_GB2312"/>
          <w:b w:val="0"/>
          <w:sz w:val="32"/>
        </w:rPr>
        <w:t>保护资金项目，导致预决算存在差异。</w:t>
      </w:r>
    </w:p>
    <w:p w14:paraId="596F2AD5">
      <w:pPr>
        <w:spacing w:line="640" w:lineRule="exact"/>
        <w:ind w:firstLine="640"/>
        <w:jc w:val="both"/>
        <w:outlineLvl w:val="2"/>
      </w:pPr>
      <w:r>
        <w:rPr>
          <w:rFonts w:ascii="黑体" w:hAnsi="黑体" w:eastAsia="黑体"/>
          <w:sz w:val="32"/>
        </w:rPr>
        <w:t>五、一般公共预算财政拨款支出决算情况说明</w:t>
      </w:r>
    </w:p>
    <w:p w14:paraId="56672977">
      <w:pPr>
        <w:spacing w:line="640" w:lineRule="exact"/>
        <w:ind w:firstLine="640"/>
        <w:jc w:val="both"/>
        <w:outlineLvl w:val="3"/>
      </w:pPr>
      <w:r>
        <w:rPr>
          <w:rFonts w:ascii="楷体_GB2312" w:hAnsi="楷体_GB2312" w:eastAsia="楷体_GB2312"/>
          <w:b/>
          <w:sz w:val="32"/>
        </w:rPr>
        <w:t>（一）一般公共预算财政拨款支出决算总体情况</w:t>
      </w:r>
    </w:p>
    <w:p w14:paraId="04FE021B">
      <w:pPr>
        <w:spacing w:line="580" w:lineRule="exact"/>
        <w:ind w:firstLine="640"/>
        <w:jc w:val="both"/>
      </w:pPr>
      <w:r>
        <w:rPr>
          <w:rFonts w:ascii="仿宋_GB2312" w:hAnsi="仿宋_GB2312" w:eastAsia="仿宋_GB2312"/>
          <w:b/>
          <w:sz w:val="32"/>
        </w:rPr>
        <w:t>2024年度一般公共预算财政拨款支出284.82万元，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增加9.10万元，增长3.30%，主要原因是：本年增加文化馆免费开放项目、2024年国家非物质文化遗产保护资金项目，导致经费较上年增加。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年初预算数248.85万元，决算数284.82万元，预决算差异率14.45%，主要原因是：年中追加文化馆免费开放项目、2024年</w:t>
      </w:r>
      <w:r>
        <w:rPr>
          <w:rFonts w:hint="eastAsia" w:ascii="仿宋_GB2312" w:hAnsi="仿宋_GB2312" w:eastAsia="仿宋_GB2312"/>
          <w:b w:val="0"/>
          <w:sz w:val="32"/>
          <w:lang w:eastAsia="zh-CN"/>
        </w:rPr>
        <w:t>国家级非物质文化遗产</w:t>
      </w:r>
      <w:r>
        <w:rPr>
          <w:rFonts w:ascii="仿宋_GB2312" w:hAnsi="仿宋_GB2312" w:eastAsia="仿宋_GB2312"/>
          <w:b w:val="0"/>
          <w:sz w:val="32"/>
        </w:rPr>
        <w:t>保护资金项目，导致预决算存在差异。</w:t>
      </w:r>
    </w:p>
    <w:p w14:paraId="25263196">
      <w:pPr>
        <w:spacing w:line="640" w:lineRule="exact"/>
        <w:ind w:firstLine="640"/>
        <w:jc w:val="both"/>
        <w:outlineLvl w:val="3"/>
      </w:pPr>
      <w:r>
        <w:rPr>
          <w:rFonts w:ascii="楷体_GB2312" w:hAnsi="楷体_GB2312" w:eastAsia="楷体_GB2312"/>
          <w:b/>
          <w:sz w:val="32"/>
        </w:rPr>
        <w:t>（二）一般公共预算财政拨款支出决算结构情况</w:t>
      </w:r>
    </w:p>
    <w:p w14:paraId="024EE2DB">
      <w:pPr>
        <w:spacing w:line="580" w:lineRule="exact"/>
        <w:ind w:firstLine="640"/>
        <w:jc w:val="both"/>
      </w:pPr>
      <w:r>
        <w:rPr>
          <w:rFonts w:ascii="仿宋_GB2312" w:hAnsi="仿宋_GB2312" w:eastAsia="仿宋_GB2312"/>
          <w:b w:val="0"/>
          <w:sz w:val="32"/>
        </w:rPr>
        <w:t>1.文化旅游体育与传媒支出(类)226.94万元,占79.68%。</w:t>
      </w:r>
    </w:p>
    <w:p w14:paraId="079A95AE">
      <w:pPr>
        <w:spacing w:line="580" w:lineRule="exact"/>
        <w:ind w:firstLine="640"/>
        <w:jc w:val="both"/>
      </w:pPr>
      <w:r>
        <w:rPr>
          <w:rFonts w:ascii="仿宋_GB2312" w:hAnsi="仿宋_GB2312" w:eastAsia="仿宋_GB2312"/>
          <w:b w:val="0"/>
          <w:sz w:val="32"/>
        </w:rPr>
        <w:t>2.社会保障和就业支出(类)36.04万元,占12.65%。</w:t>
      </w:r>
    </w:p>
    <w:p w14:paraId="3E13D691">
      <w:pPr>
        <w:spacing w:line="580" w:lineRule="exact"/>
        <w:ind w:firstLine="640"/>
        <w:jc w:val="both"/>
      </w:pPr>
      <w:r>
        <w:rPr>
          <w:rFonts w:ascii="仿宋_GB2312" w:hAnsi="仿宋_GB2312" w:eastAsia="仿宋_GB2312"/>
          <w:b w:val="0"/>
          <w:sz w:val="32"/>
        </w:rPr>
        <w:t>3.卫生健康支出(类)7.76万元,占2.72%。</w:t>
      </w:r>
    </w:p>
    <w:p w14:paraId="036F15F9">
      <w:pPr>
        <w:spacing w:line="580" w:lineRule="exact"/>
        <w:ind w:firstLine="640"/>
        <w:jc w:val="both"/>
      </w:pPr>
      <w:r>
        <w:rPr>
          <w:rFonts w:ascii="仿宋_GB2312" w:hAnsi="仿宋_GB2312" w:eastAsia="仿宋_GB2312"/>
          <w:b w:val="0"/>
          <w:sz w:val="32"/>
        </w:rPr>
        <w:t>4.住房保障支出(类)14.07万元,占4.94%。</w:t>
      </w:r>
    </w:p>
    <w:p w14:paraId="013D99E2">
      <w:pPr>
        <w:spacing w:line="640" w:lineRule="exact"/>
        <w:ind w:firstLine="640"/>
        <w:jc w:val="both"/>
        <w:outlineLvl w:val="3"/>
      </w:pPr>
      <w:r>
        <w:rPr>
          <w:rFonts w:ascii="楷体_GB2312" w:hAnsi="楷体_GB2312" w:eastAsia="楷体_GB2312"/>
          <w:b/>
          <w:sz w:val="32"/>
        </w:rPr>
        <w:t>（三）一般公共预算财政拨款支出决算具体情况</w:t>
      </w:r>
    </w:p>
    <w:p w14:paraId="4E999E34">
      <w:pPr>
        <w:spacing w:line="580" w:lineRule="exact"/>
        <w:ind w:firstLine="640"/>
        <w:jc w:val="both"/>
      </w:pPr>
      <w:r>
        <w:rPr>
          <w:rFonts w:ascii="仿宋_GB2312" w:hAnsi="仿宋_GB2312" w:eastAsia="仿宋_GB2312"/>
          <w:b w:val="0"/>
          <w:sz w:val="32"/>
        </w:rPr>
        <w:t>1.文化旅游体育与传媒支出(类)文化和旅游(款)群众文化(项):支出决算数为165.62万元，比上年决算增加18.41万元，增长12.51%,主要原因是：本年在职人员工资调增，发放人员绩效奖金，相关人员经费增加。</w:t>
      </w:r>
    </w:p>
    <w:p w14:paraId="12999EE1">
      <w:pPr>
        <w:spacing w:line="580" w:lineRule="exact"/>
        <w:ind w:firstLine="640"/>
        <w:jc w:val="both"/>
      </w:pPr>
      <w:r>
        <w:rPr>
          <w:rFonts w:ascii="仿宋_GB2312" w:hAnsi="仿宋_GB2312" w:eastAsia="仿宋_GB2312"/>
          <w:b w:val="0"/>
          <w:sz w:val="32"/>
        </w:rPr>
        <w:t>2.文化旅游体育与传媒支出(类)文化和旅游(款)文化创作与保护(项):支出决算数为14.00万元，比上年决算增加6.00万元，增长75.00%,主要原因是：本年度文化馆免费开放项目资金增加。本年功能科目调整，国家非物质文化遗产保护项目由其他文化旅游体育与传媒支出科目调整至文化创作与保护科目列支，相关支出</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625E2377">
      <w:pPr>
        <w:spacing w:line="580" w:lineRule="exact"/>
        <w:ind w:firstLine="640"/>
        <w:jc w:val="both"/>
      </w:pPr>
      <w:r>
        <w:rPr>
          <w:rFonts w:ascii="仿宋_GB2312" w:hAnsi="仿宋_GB2312" w:eastAsia="仿宋_GB2312"/>
          <w:b w:val="0"/>
          <w:sz w:val="32"/>
        </w:rPr>
        <w:t>3.文化旅游体育与传媒支出(类)文化和旅游(款)其他文化和旅游支出(项):支出决算数为47.32万元，比上年决算减少12.18万元，下降20.47%,主要原因是：本年度减少百日文化广场活动、阿肯阿依特斯活动经费。</w:t>
      </w:r>
    </w:p>
    <w:p w14:paraId="70217AFE">
      <w:pPr>
        <w:spacing w:line="580" w:lineRule="exact"/>
        <w:ind w:firstLine="640"/>
        <w:jc w:val="both"/>
      </w:pPr>
      <w:r>
        <w:rPr>
          <w:rFonts w:ascii="仿宋_GB2312" w:hAnsi="仿宋_GB2312" w:eastAsia="仿宋_GB2312"/>
          <w:b w:val="0"/>
          <w:sz w:val="32"/>
        </w:rPr>
        <w:t>4.文化旅游体育与传媒支出(类)其他文化旅游体育与传媒支出(款)其他文化旅游体育与传媒支出(项):支出决算数为0.00万元，比上年决算减少17.00万元，下降100.00%,主要原因是：本年功能科目调整，国家非物质文化遗产保护项目由本科目调整至文化创作与保护科目列支，相关支出减少。</w:t>
      </w:r>
    </w:p>
    <w:p w14:paraId="0C524422">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5.社会保障和就业支出(类)行政事业单位养老支出(款)事业单位离退休(项):支出决算数为11.38万元，比上年决算增加3.32万元，增长41.19%,主要原因是：本年退休人员增加，退休费支出增加。</w:t>
      </w:r>
    </w:p>
    <w:p w14:paraId="177683F0">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17.66万元，比上年决算增加1.84万元，增长11.63%,主要原因是：本年在职人员工资基数调增，养老缴费基数上涨，相应支出增加。</w:t>
      </w:r>
    </w:p>
    <w:p w14:paraId="412EBF53">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7.社会保障和就业支出(类)行政事业单位养老支出(款)机关事业单位职业年金缴费支出(项):支出决算数为7.01万元，比上年决算增加7.01万元，增长100.00%,主要原因是：本年新增退休人员，职业年金缴费支出增加。</w:t>
      </w:r>
    </w:p>
    <w:p w14:paraId="430FF65E">
      <w:pPr>
        <w:spacing w:line="580" w:lineRule="exact"/>
        <w:ind w:firstLine="640"/>
        <w:jc w:val="both"/>
      </w:pPr>
      <w:r>
        <w:rPr>
          <w:rFonts w:ascii="仿宋_GB2312" w:hAnsi="仿宋_GB2312" w:eastAsia="仿宋_GB2312"/>
          <w:b w:val="0"/>
          <w:sz w:val="32"/>
        </w:rPr>
        <w:t>8.卫生健康支出(类)行政事业单位医疗(款)事业单位医疗(项):支出决算数为7.76万元，比上年决算增加0.61万元，增长8.53%,主要原因是：本年在职人员工资基数调增，医疗缴费基数上涨，相应支出增加。</w:t>
      </w:r>
    </w:p>
    <w:p w14:paraId="0A890CA1">
      <w:pPr>
        <w:spacing w:line="580" w:lineRule="exact"/>
        <w:ind w:firstLine="640"/>
        <w:jc w:val="both"/>
      </w:pPr>
      <w:r>
        <w:rPr>
          <w:rFonts w:ascii="仿宋_GB2312" w:hAnsi="仿宋_GB2312" w:eastAsia="仿宋_GB2312"/>
          <w:b w:val="0"/>
          <w:sz w:val="32"/>
        </w:rPr>
        <w:t>9.住房保障支出(类)住房改革支出(款)住房公积金(项):支出决算数为14.07万元，比上年决算增加1.10万元，增长8.48%,主要原因是：本年在职人员工资基数调增，公积金缴费基数上涨，相应支出增加。</w:t>
      </w:r>
    </w:p>
    <w:p w14:paraId="7E6EC30E">
      <w:pPr>
        <w:spacing w:line="640" w:lineRule="exact"/>
        <w:ind w:firstLine="640"/>
        <w:jc w:val="both"/>
        <w:outlineLvl w:val="2"/>
      </w:pPr>
      <w:r>
        <w:rPr>
          <w:rFonts w:ascii="黑体" w:hAnsi="黑体" w:eastAsia="黑体"/>
          <w:sz w:val="32"/>
        </w:rPr>
        <w:t>六、一般公共预算财政拨款基本支出决算情况说明</w:t>
      </w:r>
    </w:p>
    <w:p w14:paraId="052FCB33">
      <w:pPr>
        <w:spacing w:line="580" w:lineRule="exact"/>
        <w:ind w:firstLine="640"/>
        <w:jc w:val="both"/>
      </w:pPr>
      <w:r>
        <w:rPr>
          <w:rFonts w:ascii="仿宋_GB2312" w:hAnsi="仿宋_GB2312" w:eastAsia="仿宋_GB2312"/>
          <w:b w:val="0"/>
          <w:sz w:val="32"/>
        </w:rPr>
        <w:t>2024年度一般公共预算财政拨款基本支出223.50万元，其中：</w:t>
      </w:r>
      <w:r>
        <w:rPr>
          <w:rFonts w:ascii="仿宋_GB2312" w:hAnsi="仿宋_GB2312" w:eastAsia="仿宋_GB2312"/>
          <w:b/>
          <w:sz w:val="32"/>
        </w:rPr>
        <w:t>人员经费202.97万元，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包括：基本工资、津贴补贴、奖金、绩效工资、机关事业单位基本养老保险缴费、职业年金缴费、职工基本医疗保险缴费、其他社会保障缴费、住房公积金、退休费、生活补助、奖励金。</w:t>
      </w:r>
    </w:p>
    <w:p w14:paraId="1AFD15A7">
      <w:pPr>
        <w:spacing w:line="580" w:lineRule="exact"/>
        <w:ind w:firstLine="640"/>
        <w:jc w:val="both"/>
      </w:pPr>
      <w:r>
        <w:rPr>
          <w:rFonts w:ascii="仿宋_GB2312" w:hAnsi="仿宋_GB2312" w:eastAsia="仿宋_GB2312"/>
          <w:b/>
          <w:sz w:val="32"/>
        </w:rPr>
        <w:t>公用经费20.53万元，</w:t>
      </w:r>
      <w:r>
        <w:rPr>
          <w:rFonts w:ascii="仿宋_GB2312" w:hAnsi="仿宋_GB2312" w:eastAsia="仿宋_GB2312"/>
          <w:b w:val="0"/>
          <w:sz w:val="32"/>
        </w:rPr>
        <w:t>包括：办公费、印刷费、邮电费、取暖费、差旅费、维修（护）费、培训费、劳务费、工会经费、公务用车运行维护费。</w:t>
      </w:r>
    </w:p>
    <w:p w14:paraId="66904989">
      <w:pPr>
        <w:spacing w:line="640" w:lineRule="exact"/>
        <w:ind w:firstLine="640"/>
        <w:jc w:val="both"/>
        <w:outlineLvl w:val="2"/>
      </w:pPr>
      <w:r>
        <w:rPr>
          <w:rFonts w:ascii="黑体" w:hAnsi="黑体" w:eastAsia="黑体"/>
          <w:sz w:val="32"/>
        </w:rPr>
        <w:t>七、政府性基金预算财政拨款收入支出决算情况说明</w:t>
      </w:r>
    </w:p>
    <w:p w14:paraId="4485A79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FEB02A8">
      <w:pPr>
        <w:spacing w:line="640" w:lineRule="exact"/>
        <w:ind w:firstLine="640"/>
        <w:jc w:val="both"/>
        <w:outlineLvl w:val="2"/>
      </w:pPr>
      <w:r>
        <w:rPr>
          <w:rFonts w:ascii="黑体" w:hAnsi="黑体" w:eastAsia="黑体"/>
          <w:sz w:val="32"/>
        </w:rPr>
        <w:t>八、国有资本经营预算财政拨款收入支出决算情况说明</w:t>
      </w:r>
    </w:p>
    <w:p w14:paraId="5F4290F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40B37C0">
      <w:pPr>
        <w:spacing w:line="640" w:lineRule="exact"/>
        <w:ind w:firstLine="640"/>
        <w:jc w:val="both"/>
        <w:outlineLvl w:val="2"/>
      </w:pPr>
      <w:r>
        <w:rPr>
          <w:rFonts w:ascii="黑体" w:hAnsi="黑体" w:eastAsia="黑体"/>
          <w:sz w:val="32"/>
        </w:rPr>
        <w:t>九、财政拨款“三公”经费支出决算情况说明</w:t>
      </w:r>
    </w:p>
    <w:p w14:paraId="44FAB8C4">
      <w:pPr>
        <w:spacing w:line="580" w:lineRule="exact"/>
        <w:ind w:firstLine="640"/>
        <w:jc w:val="both"/>
      </w:pPr>
      <w:r>
        <w:rPr>
          <w:rFonts w:ascii="仿宋_GB2312" w:hAnsi="仿宋_GB2312" w:eastAsia="仿宋_GB2312"/>
          <w:b/>
          <w:sz w:val="32"/>
        </w:rPr>
        <w:t>2024年度财政拨款“三公”经费支出0.23万元，</w:t>
      </w:r>
      <w:r>
        <w:rPr>
          <w:rFonts w:ascii="仿宋_GB2312" w:hAnsi="仿宋_GB2312" w:eastAsia="仿宋_GB2312"/>
          <w:b w:val="0"/>
          <w:sz w:val="32"/>
        </w:rPr>
        <w:t>比上年减少3.20万元，下降93.29%，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0.23万元，占100.00%，比上年减少3.20万元，下降93.29%，主要原因是：严格落实中央八项规定精神，厉行节约，减少公务用车运行维护费。公务接待费支出0.00万元，占0.00%，比上年增加0.00万元，增长0.00%，主要原因是：2023年与2024年均未安排公务接待费支出。</w:t>
      </w:r>
    </w:p>
    <w:p w14:paraId="25609720">
      <w:pPr>
        <w:spacing w:line="580" w:lineRule="exact"/>
        <w:ind w:firstLine="640"/>
        <w:jc w:val="both"/>
      </w:pPr>
      <w:r>
        <w:rPr>
          <w:rFonts w:ascii="仿宋_GB2312" w:hAnsi="仿宋_GB2312" w:eastAsia="仿宋_GB2312"/>
          <w:b/>
          <w:sz w:val="32"/>
        </w:rPr>
        <w:t>具体情况如下：</w:t>
      </w:r>
    </w:p>
    <w:p w14:paraId="0874D8C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81E108A">
      <w:pPr>
        <w:spacing w:line="580" w:lineRule="exact"/>
        <w:ind w:firstLine="640"/>
        <w:jc w:val="both"/>
      </w:pPr>
      <w:r>
        <w:rPr>
          <w:rFonts w:ascii="仿宋_GB2312" w:hAnsi="仿宋_GB2312" w:eastAsia="仿宋_GB2312"/>
          <w:b w:val="0"/>
          <w:sz w:val="32"/>
        </w:rPr>
        <w:t>公务用车购置及运行维护费0.23万元，其中：公务用车购置费0.00万元，公务用车运行维护费0.23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761CBBC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EA5BCC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0.23万元，决算数0.23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0.23万元，决算数0.23万元，预决算差异率0.00%，主要原因是：严格按照预算执行，预决算无差异。公务接待费全年预算数0.00万元，决算数0.00万元，预决算差异率0.00%，主要原因是：本单位无公务接待费。</w:t>
      </w:r>
    </w:p>
    <w:p w14:paraId="6DE0BDC9">
      <w:pPr>
        <w:spacing w:line="640" w:lineRule="exact"/>
        <w:ind w:firstLine="640"/>
        <w:jc w:val="both"/>
        <w:outlineLvl w:val="2"/>
      </w:pPr>
      <w:r>
        <w:rPr>
          <w:rFonts w:ascii="黑体" w:hAnsi="黑体" w:eastAsia="黑体"/>
          <w:sz w:val="32"/>
        </w:rPr>
        <w:t>十、其他重要事项的情况说明</w:t>
      </w:r>
    </w:p>
    <w:p w14:paraId="666F9E4B">
      <w:pPr>
        <w:spacing w:line="640" w:lineRule="exact"/>
        <w:ind w:firstLine="640"/>
        <w:jc w:val="both"/>
        <w:outlineLvl w:val="3"/>
      </w:pPr>
      <w:r>
        <w:rPr>
          <w:rFonts w:ascii="楷体_GB2312" w:hAnsi="楷体_GB2312" w:eastAsia="楷体_GB2312"/>
          <w:b/>
          <w:sz w:val="32"/>
        </w:rPr>
        <w:t>（一）机关运行经费及公用经费支出情况</w:t>
      </w:r>
    </w:p>
    <w:p w14:paraId="0829A7E4">
      <w:pPr>
        <w:spacing w:line="580" w:lineRule="exact"/>
        <w:ind w:firstLine="640"/>
        <w:jc w:val="both"/>
      </w:pPr>
      <w:r>
        <w:rPr>
          <w:rFonts w:ascii="仿宋_GB2312" w:hAnsi="仿宋_GB2312" w:eastAsia="仿宋_GB2312"/>
          <w:b w:val="0"/>
          <w:sz w:val="32"/>
        </w:rPr>
        <w:t>2024年度托里县文化馆（事业单位）公用经费支出20.53万元，比上年增加1.77万元，增长9.43%，主要原因是：本年更新、维护补充办公用品，导致公用经费较上年增加。</w:t>
      </w:r>
    </w:p>
    <w:p w14:paraId="32AEB97D">
      <w:pPr>
        <w:spacing w:line="640" w:lineRule="exact"/>
        <w:ind w:firstLine="640"/>
        <w:jc w:val="both"/>
        <w:outlineLvl w:val="3"/>
      </w:pPr>
      <w:r>
        <w:rPr>
          <w:rFonts w:ascii="楷体_GB2312" w:hAnsi="楷体_GB2312" w:eastAsia="楷体_GB2312"/>
          <w:b/>
          <w:sz w:val="32"/>
        </w:rPr>
        <w:t>（二）政府采购情况</w:t>
      </w:r>
    </w:p>
    <w:p w14:paraId="2B27B323">
      <w:pPr>
        <w:spacing w:line="580" w:lineRule="exact"/>
        <w:ind w:firstLine="640"/>
        <w:jc w:val="both"/>
      </w:pPr>
      <w:r>
        <w:rPr>
          <w:rFonts w:ascii="仿宋_GB2312" w:hAnsi="仿宋_GB2312" w:eastAsia="仿宋_GB2312"/>
          <w:b w:val="0"/>
          <w:sz w:val="32"/>
        </w:rPr>
        <w:t>2024年度政府采购支出总额0.20万元，其中：政府采购货物支出0.00万元、政府采购工程支出0.00万元、政府采购服务支出0.20万元。</w:t>
      </w:r>
    </w:p>
    <w:p w14:paraId="4CD5768F">
      <w:pPr>
        <w:spacing w:line="580" w:lineRule="exact"/>
        <w:ind w:firstLine="640"/>
        <w:jc w:val="both"/>
      </w:pPr>
      <w:r>
        <w:rPr>
          <w:rFonts w:ascii="仿宋_GB2312" w:hAnsi="仿宋_GB2312" w:eastAsia="仿宋_GB2312"/>
          <w:b w:val="0"/>
          <w:sz w:val="32"/>
        </w:rPr>
        <w:t>授予中小企业合同金额0.20万元，占政府采购支出总额的100.00%，其中：授予小微企业合同金额0.20万元，占政府采购支出总额的100.00%。</w:t>
      </w:r>
    </w:p>
    <w:p w14:paraId="6516EC0A">
      <w:pPr>
        <w:spacing w:line="640" w:lineRule="exact"/>
        <w:ind w:firstLine="640"/>
        <w:jc w:val="both"/>
        <w:outlineLvl w:val="3"/>
      </w:pPr>
      <w:r>
        <w:rPr>
          <w:rFonts w:ascii="楷体_GB2312" w:hAnsi="楷体_GB2312" w:eastAsia="楷体_GB2312"/>
          <w:b/>
          <w:sz w:val="32"/>
        </w:rPr>
        <w:t>（三）国有资产占用情况说明</w:t>
      </w:r>
    </w:p>
    <w:p w14:paraId="6F9D252A">
      <w:pPr>
        <w:spacing w:line="580" w:lineRule="exact"/>
        <w:ind w:firstLine="640"/>
        <w:jc w:val="both"/>
      </w:pPr>
      <w:r>
        <w:rPr>
          <w:rFonts w:ascii="仿宋_GB2312" w:hAnsi="仿宋_GB2312" w:eastAsia="仿宋_GB2312"/>
          <w:b w:val="0"/>
          <w:sz w:val="32"/>
        </w:rPr>
        <w:t>截至2024年12月31日，房屋200.00平方米，价值14.00万元。车辆1辆，价值23.51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7E21F8F4">
      <w:pPr>
        <w:spacing w:line="640" w:lineRule="exact"/>
        <w:ind w:firstLine="640"/>
        <w:jc w:val="both"/>
        <w:outlineLvl w:val="2"/>
      </w:pPr>
      <w:r>
        <w:rPr>
          <w:rFonts w:ascii="黑体" w:hAnsi="黑体" w:eastAsia="黑体"/>
          <w:sz w:val="32"/>
        </w:rPr>
        <w:t>十一、预算绩效的情况说明</w:t>
      </w:r>
    </w:p>
    <w:p w14:paraId="5190048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284.82万元，实际执行总额284.82万元；预算绩效评价项目4个，全年预算数62.10万元，全年执行数59.54万元。预算绩效管理取得的成效：强化了预算绩效意识。“花钱必有效，无效必问责”的意识增强。发现的问题及原因：在资金分配支付方面不均衡，影响支付进度。下一步改进措施：合理安排</w:t>
      </w:r>
      <w:r>
        <w:rPr>
          <w:rFonts w:hint="eastAsia" w:ascii="仿宋_GB2312" w:hAnsi="仿宋_GB2312" w:eastAsia="仿宋_GB2312"/>
          <w:b w:val="0"/>
          <w:sz w:val="32"/>
          <w:lang w:eastAsia="zh-CN"/>
        </w:rPr>
        <w:t>各</w:t>
      </w:r>
      <w:r>
        <w:rPr>
          <w:rFonts w:ascii="仿宋_GB2312" w:hAnsi="仿宋_GB2312" w:eastAsia="仿宋_GB2312"/>
          <w:b w:val="0"/>
          <w:sz w:val="32"/>
        </w:rPr>
        <w:t>项目资金支出，尽可能保持均衡的支出进度，以利于单位工作正常开展，保障重点项目顺利实施。具体</w:t>
      </w:r>
      <w:bookmarkStart w:id="0" w:name="_GoBack"/>
      <w:r>
        <w:rPr>
          <w:rFonts w:ascii="仿宋_GB2312" w:hAnsi="仿宋_GB2312" w:eastAsia="仿宋_GB2312"/>
          <w:b w:val="0"/>
          <w:sz w:val="32"/>
        </w:rPr>
        <w:t>附整体支出绩效自评表，项目支出绩效自评表和评</w:t>
      </w:r>
      <w:bookmarkEnd w:id="0"/>
      <w:r>
        <w:rPr>
          <w:rFonts w:ascii="仿宋_GB2312" w:hAnsi="仿宋_GB2312" w:eastAsia="仿宋_GB2312"/>
          <w:b w:val="0"/>
          <w:sz w:val="32"/>
        </w:rPr>
        <w:t>价报告。</w:t>
      </w:r>
    </w:p>
    <w:p w14:paraId="70CD39C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B63F1A2">
        <w:tblPrEx>
          <w:tblCellMar>
            <w:top w:w="0" w:type="dxa"/>
            <w:left w:w="108" w:type="dxa"/>
            <w:bottom w:w="0" w:type="dxa"/>
            <w:right w:w="108" w:type="dxa"/>
          </w:tblCellMar>
        </w:tblPrEx>
        <w:tc>
          <w:tcPr>
            <w:tcW w:w="8840" w:type="dxa"/>
            <w:gridSpan w:val="8"/>
            <w:vAlign w:val="center"/>
          </w:tcPr>
          <w:p w14:paraId="029BE481">
            <w:pPr>
              <w:jc w:val="center"/>
            </w:pPr>
            <w:r>
              <w:rPr>
                <w:rFonts w:ascii="宋体" w:hAnsi="宋体" w:eastAsia="宋体"/>
                <w:sz w:val="24"/>
              </w:rPr>
              <w:t>单位整体支出绩效自评表</w:t>
            </w:r>
          </w:p>
        </w:tc>
      </w:tr>
      <w:tr w14:paraId="74FB2D6A">
        <w:tblPrEx>
          <w:tblCellMar>
            <w:top w:w="0" w:type="dxa"/>
            <w:left w:w="108" w:type="dxa"/>
            <w:bottom w:w="0" w:type="dxa"/>
            <w:right w:w="108" w:type="dxa"/>
          </w:tblCellMar>
        </w:tblPrEx>
        <w:tc>
          <w:tcPr>
            <w:tcW w:w="8840" w:type="dxa"/>
            <w:gridSpan w:val="8"/>
            <w:vAlign w:val="center"/>
          </w:tcPr>
          <w:p w14:paraId="5EBF725F">
            <w:pPr>
              <w:jc w:val="center"/>
            </w:pPr>
            <w:r>
              <w:rPr>
                <w:rFonts w:ascii="宋体" w:hAnsi="宋体" w:eastAsia="宋体"/>
                <w:sz w:val="24"/>
              </w:rPr>
              <w:t>（2024年度）</w:t>
            </w:r>
          </w:p>
        </w:tc>
      </w:tr>
      <w:tr w14:paraId="5959FB6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47BA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4AB799">
            <w:pPr>
              <w:jc w:val="center"/>
            </w:pPr>
            <w:r>
              <w:rPr>
                <w:rFonts w:ascii="宋体" w:hAnsi="宋体" w:eastAsia="宋体"/>
                <w:sz w:val="16"/>
              </w:rPr>
              <w:t>托里县文化馆</w:t>
            </w:r>
          </w:p>
        </w:tc>
      </w:tr>
      <w:tr w14:paraId="00C398C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61B62">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8F0D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4875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46B7D">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13F7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35B6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5F1C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5863D">
            <w:pPr>
              <w:jc w:val="center"/>
            </w:pPr>
            <w:r>
              <w:rPr>
                <w:rFonts w:ascii="宋体" w:hAnsi="宋体" w:eastAsia="宋体"/>
                <w:sz w:val="16"/>
              </w:rPr>
              <w:t>得分</w:t>
            </w:r>
          </w:p>
        </w:tc>
      </w:tr>
      <w:tr w14:paraId="7F5D21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1EC6A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91EA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D319B">
            <w:pPr>
              <w:jc w:val="center"/>
            </w:pPr>
            <w:r>
              <w:rPr>
                <w:rFonts w:ascii="宋体" w:hAnsi="宋体" w:eastAsia="宋体"/>
                <w:sz w:val="16"/>
              </w:rPr>
              <w:t>248.85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3EE34">
            <w:pPr>
              <w:jc w:val="center"/>
            </w:pPr>
            <w:r>
              <w:rPr>
                <w:rFonts w:ascii="宋体" w:hAnsi="宋体" w:eastAsia="宋体"/>
                <w:sz w:val="16"/>
              </w:rPr>
              <w:t>284.82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5ED56">
            <w:pPr>
              <w:jc w:val="center"/>
            </w:pPr>
            <w:r>
              <w:rPr>
                <w:rFonts w:ascii="宋体" w:hAnsi="宋体" w:eastAsia="宋体"/>
                <w:sz w:val="16"/>
              </w:rPr>
              <w:t>284.82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9869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F517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68625">
            <w:pPr>
              <w:jc w:val="center"/>
            </w:pPr>
            <w:r>
              <w:rPr>
                <w:rFonts w:ascii="宋体" w:hAnsi="宋体" w:eastAsia="宋体"/>
                <w:sz w:val="16"/>
              </w:rPr>
              <w:t>10</w:t>
            </w:r>
          </w:p>
        </w:tc>
      </w:tr>
      <w:tr w14:paraId="548A2F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E0C1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8BFBC">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045D0">
            <w:pPr>
              <w:jc w:val="center"/>
            </w:pPr>
            <w:r>
              <w:rPr>
                <w:rFonts w:ascii="宋体" w:hAnsi="宋体" w:eastAsia="宋体"/>
                <w:sz w:val="16"/>
              </w:rPr>
              <w:t>36.00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978E5">
            <w:pPr>
              <w:jc w:val="center"/>
            </w:pPr>
            <w:r>
              <w:rPr>
                <w:rFonts w:ascii="宋体" w:hAnsi="宋体" w:eastAsia="宋体"/>
                <w:sz w:val="16"/>
              </w:rPr>
              <w:t>59.33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85DA6">
            <w:pPr>
              <w:jc w:val="center"/>
            </w:pPr>
            <w:r>
              <w:rPr>
                <w:rFonts w:ascii="宋体" w:hAnsi="宋体" w:eastAsia="宋体"/>
                <w:sz w:val="16"/>
              </w:rPr>
              <w:t>59.33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16A0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A0D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3B295">
            <w:pPr>
              <w:jc w:val="center"/>
            </w:pPr>
            <w:r>
              <w:rPr>
                <w:rFonts w:ascii="宋体" w:hAnsi="宋体" w:eastAsia="宋体"/>
                <w:sz w:val="16"/>
              </w:rPr>
              <w:t>-</w:t>
            </w:r>
          </w:p>
        </w:tc>
      </w:tr>
      <w:tr w14:paraId="7B10BE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984CD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93EC2">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2BF9F">
            <w:pPr>
              <w:jc w:val="center"/>
            </w:pPr>
            <w:r>
              <w:rPr>
                <w:rFonts w:ascii="宋体" w:hAnsi="宋体" w:eastAsia="宋体"/>
                <w:sz w:val="16"/>
              </w:rPr>
              <w:t>212.85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743ED0">
            <w:pPr>
              <w:jc w:val="center"/>
            </w:pPr>
            <w:r>
              <w:rPr>
                <w:rFonts w:ascii="宋体" w:hAnsi="宋体" w:eastAsia="宋体"/>
                <w:sz w:val="16"/>
              </w:rPr>
              <w:t>225.49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F263B">
            <w:pPr>
              <w:jc w:val="center"/>
            </w:pPr>
            <w:r>
              <w:rPr>
                <w:rFonts w:ascii="宋体" w:hAnsi="宋体" w:eastAsia="宋体"/>
                <w:sz w:val="16"/>
              </w:rPr>
              <w:t>225.49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367C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20F34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A02A1">
            <w:pPr>
              <w:jc w:val="center"/>
            </w:pPr>
            <w:r>
              <w:rPr>
                <w:rFonts w:ascii="宋体" w:hAnsi="宋体" w:eastAsia="宋体"/>
                <w:sz w:val="16"/>
              </w:rPr>
              <w:t>-</w:t>
            </w:r>
          </w:p>
        </w:tc>
      </w:tr>
      <w:tr w14:paraId="6913FB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4B01C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70779">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986F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7D69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A335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2FBC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1B4F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A608F">
            <w:pPr>
              <w:jc w:val="center"/>
            </w:pPr>
            <w:r>
              <w:rPr>
                <w:rFonts w:ascii="宋体" w:hAnsi="宋体" w:eastAsia="宋体"/>
                <w:sz w:val="16"/>
              </w:rPr>
              <w:t>-</w:t>
            </w:r>
          </w:p>
        </w:tc>
      </w:tr>
      <w:tr w14:paraId="089022F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D1522">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3A572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209FFB">
            <w:pPr>
              <w:jc w:val="center"/>
            </w:pPr>
            <w:r>
              <w:rPr>
                <w:rFonts w:ascii="宋体" w:hAnsi="宋体" w:eastAsia="宋体"/>
                <w:sz w:val="16"/>
              </w:rPr>
              <w:t>实际完成情况</w:t>
            </w:r>
          </w:p>
        </w:tc>
      </w:tr>
      <w:tr w14:paraId="53E420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54B6B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4CED76">
            <w:pPr>
              <w:jc w:val="both"/>
            </w:pPr>
            <w:r>
              <w:rPr>
                <w:rFonts w:ascii="宋体" w:hAnsi="宋体" w:eastAsia="宋体"/>
                <w:sz w:val="16"/>
              </w:rPr>
              <w:t>2024年，托里县文化馆将继续深入开展 “文化润疆”工程，县委、县政府及本单位积极谋划，扎实推进美术馆、图书馆、文化馆（站）免费开放数量，开展群众性文化活动不少于40场次、文化下乡演出培训不少于15场次，免费开放数量不少于300天，丰富人民群众的精神文化生活的要求，充分发挥“三馆一站”在提高公民鉴赏能力、提高各族群众思想道德和科学文化素质的作用，保障各族群众基本权益，促进社会和谐稳定。</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A37837">
            <w:pPr>
              <w:jc w:val="both"/>
            </w:pPr>
            <w:r>
              <w:rPr>
                <w:rFonts w:ascii="宋体" w:hAnsi="宋体" w:eastAsia="宋体"/>
                <w:sz w:val="16"/>
              </w:rPr>
              <w:t>2024</w:t>
            </w:r>
            <w:r>
              <w:rPr>
                <w:rFonts w:hint="eastAsia" w:ascii="宋体" w:hAnsi="宋体"/>
                <w:sz w:val="16"/>
                <w:lang w:eastAsia="zh-CN"/>
              </w:rPr>
              <w:t>年</w:t>
            </w:r>
            <w:r>
              <w:rPr>
                <w:rFonts w:ascii="宋体" w:hAnsi="宋体" w:eastAsia="宋体"/>
                <w:sz w:val="16"/>
              </w:rPr>
              <w:t>度托里县文化馆始终坚持服务社会公众的方向，结合实际，认真落实工作的方针、政策，加强队伍、业务建设，全年免费开放已达到360天，开展群众性文化活动40场次、文化下乡演出培训15场次、文化馆群众文化宣传活动15场次。极大地完善群众文化的各项功能，开辟我县群众文化的新局面，为构建和谐托里做出贡献。</w:t>
            </w:r>
          </w:p>
        </w:tc>
      </w:tr>
      <w:tr w14:paraId="22B414D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AC0C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C075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E436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1524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25A9A">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C19B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22E11">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3A8DE">
            <w:pPr>
              <w:jc w:val="center"/>
            </w:pPr>
            <w:r>
              <w:rPr>
                <w:rFonts w:ascii="宋体" w:hAnsi="宋体" w:eastAsia="宋体"/>
                <w:sz w:val="16"/>
              </w:rPr>
              <w:t>得分</w:t>
            </w:r>
          </w:p>
        </w:tc>
      </w:tr>
      <w:tr w14:paraId="417026B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65A3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C76D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F8D9C">
            <w:pPr>
              <w:jc w:val="center"/>
            </w:pPr>
            <w:r>
              <w:rPr>
                <w:rFonts w:ascii="宋体" w:hAnsi="宋体" w:eastAsia="宋体"/>
                <w:sz w:val="16"/>
              </w:rPr>
              <w:t>常态化免费开放场馆数量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AE0B9">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2EF3B8">
            <w:pPr>
              <w:jc w:val="center"/>
            </w:pPr>
            <w:r>
              <w:rPr>
                <w:rFonts w:ascii="宋体" w:hAnsi="宋体" w:eastAsia="宋体"/>
                <w:sz w:val="16"/>
              </w:rPr>
              <w:t>常态化免费开放场馆数量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16EC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859EB">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13BE1">
            <w:pPr>
              <w:jc w:val="center"/>
            </w:pPr>
            <w:r>
              <w:rPr>
                <w:rFonts w:ascii="宋体" w:hAnsi="宋体" w:eastAsia="宋体"/>
                <w:sz w:val="16"/>
              </w:rPr>
              <w:t>15</w:t>
            </w:r>
          </w:p>
        </w:tc>
      </w:tr>
      <w:tr w14:paraId="0512C4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95312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1601D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A5065">
            <w:pPr>
              <w:jc w:val="center"/>
            </w:pPr>
            <w:r>
              <w:rPr>
                <w:rFonts w:ascii="宋体" w:hAnsi="宋体" w:eastAsia="宋体"/>
                <w:sz w:val="16"/>
              </w:rPr>
              <w:t>开展群众性文化活动数量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741FC">
            <w:pPr>
              <w:jc w:val="center"/>
            </w:pPr>
            <w:r>
              <w:rPr>
                <w:rFonts w:ascii="宋体" w:hAnsi="宋体" w:eastAsia="宋体"/>
                <w:sz w:val="16"/>
              </w:rPr>
              <w:t>&gt;=40场次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C5834">
            <w:pPr>
              <w:jc w:val="center"/>
            </w:pPr>
            <w:r>
              <w:rPr>
                <w:rFonts w:ascii="宋体" w:hAnsi="宋体" w:eastAsia="宋体"/>
                <w:sz w:val="16"/>
              </w:rPr>
              <w:t>开展群众性文化活动数量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A491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1EE61">
            <w:pPr>
              <w:jc w:val="center"/>
            </w:pPr>
            <w:r>
              <w:rPr>
                <w:rFonts w:ascii="宋体" w:hAnsi="宋体" w:eastAsia="宋体"/>
                <w:sz w:val="16"/>
              </w:rPr>
              <w:t>40场次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1D083">
            <w:pPr>
              <w:jc w:val="center"/>
            </w:pPr>
            <w:r>
              <w:rPr>
                <w:rFonts w:ascii="宋体" w:hAnsi="宋体" w:eastAsia="宋体"/>
                <w:sz w:val="16"/>
              </w:rPr>
              <w:t>15</w:t>
            </w:r>
          </w:p>
        </w:tc>
      </w:tr>
      <w:tr w14:paraId="58757E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D2990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670D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41FEF">
            <w:pPr>
              <w:jc w:val="center"/>
            </w:pPr>
            <w:r>
              <w:rPr>
                <w:rFonts w:ascii="宋体" w:hAnsi="宋体" w:eastAsia="宋体"/>
                <w:sz w:val="16"/>
              </w:rPr>
              <w:t>文化下乡演出培训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48495">
            <w:pPr>
              <w:jc w:val="center"/>
            </w:pPr>
            <w:r>
              <w:rPr>
                <w:rFonts w:ascii="宋体" w:hAnsi="宋体" w:eastAsia="宋体"/>
                <w:sz w:val="16"/>
              </w:rPr>
              <w:t>&gt;=15场次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89339">
            <w:pPr>
              <w:jc w:val="center"/>
            </w:pPr>
            <w:r>
              <w:rPr>
                <w:rFonts w:ascii="宋体" w:hAnsi="宋体" w:eastAsia="宋体"/>
                <w:sz w:val="16"/>
              </w:rPr>
              <w:t>文化下乡演出培训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693E9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C36B30">
            <w:pPr>
              <w:jc w:val="center"/>
            </w:pPr>
            <w:r>
              <w:rPr>
                <w:rFonts w:ascii="宋体" w:hAnsi="宋体" w:eastAsia="宋体"/>
                <w:sz w:val="16"/>
              </w:rPr>
              <w:t>15场次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814A2">
            <w:pPr>
              <w:jc w:val="center"/>
            </w:pPr>
            <w:r>
              <w:rPr>
                <w:rFonts w:ascii="宋体" w:hAnsi="宋体" w:eastAsia="宋体"/>
                <w:sz w:val="16"/>
              </w:rPr>
              <w:t>15</w:t>
            </w:r>
          </w:p>
        </w:tc>
      </w:tr>
      <w:tr w14:paraId="2CC5AA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3D68A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E5B29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B356C">
            <w:pPr>
              <w:jc w:val="center"/>
            </w:pPr>
            <w:r>
              <w:rPr>
                <w:rFonts w:ascii="宋体" w:hAnsi="宋体" w:eastAsia="宋体"/>
                <w:sz w:val="16"/>
              </w:rPr>
              <w:t>文化馆群众文化宣传活动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255E6">
            <w:pPr>
              <w:jc w:val="center"/>
            </w:pPr>
            <w:r>
              <w:rPr>
                <w:rFonts w:ascii="宋体" w:hAnsi="宋体" w:eastAsia="宋体"/>
                <w:sz w:val="16"/>
              </w:rPr>
              <w:t>&gt;=15场次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64342">
            <w:pPr>
              <w:jc w:val="center"/>
            </w:pPr>
            <w:r>
              <w:rPr>
                <w:rFonts w:ascii="宋体" w:hAnsi="宋体" w:eastAsia="宋体"/>
                <w:sz w:val="16"/>
              </w:rPr>
              <w:t>文化馆群众文化宣传活动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56F1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F8FB1">
            <w:pPr>
              <w:jc w:val="center"/>
            </w:pPr>
            <w:r>
              <w:rPr>
                <w:rFonts w:ascii="宋体" w:hAnsi="宋体" w:eastAsia="宋体"/>
                <w:sz w:val="16"/>
              </w:rPr>
              <w:t>15场次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43C84">
            <w:pPr>
              <w:jc w:val="center"/>
            </w:pPr>
            <w:r>
              <w:rPr>
                <w:rFonts w:ascii="宋体" w:hAnsi="宋体" w:eastAsia="宋体"/>
                <w:sz w:val="16"/>
              </w:rPr>
              <w:t>15</w:t>
            </w:r>
          </w:p>
        </w:tc>
      </w:tr>
      <w:tr w14:paraId="18D465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DE2B8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FD9C3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1F9AC5">
            <w:pPr>
              <w:jc w:val="center"/>
            </w:pPr>
            <w:r>
              <w:rPr>
                <w:rFonts w:ascii="宋体" w:hAnsi="宋体" w:eastAsia="宋体"/>
                <w:sz w:val="16"/>
              </w:rPr>
              <w:t>全年免费开放数量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81621">
            <w:pPr>
              <w:jc w:val="center"/>
            </w:pPr>
            <w:r>
              <w:rPr>
                <w:rFonts w:ascii="宋体" w:hAnsi="宋体" w:eastAsia="宋体"/>
                <w:sz w:val="16"/>
              </w:rPr>
              <w:t>&gt;=300天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52455">
            <w:pPr>
              <w:jc w:val="center"/>
            </w:pPr>
            <w:r>
              <w:rPr>
                <w:rFonts w:ascii="宋体" w:hAnsi="宋体" w:eastAsia="宋体"/>
                <w:sz w:val="16"/>
              </w:rPr>
              <w:t>全年免费开放数量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82E3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B6C0A">
            <w:pPr>
              <w:jc w:val="center"/>
            </w:pPr>
            <w:r>
              <w:rPr>
                <w:rFonts w:ascii="宋体" w:hAnsi="宋体" w:eastAsia="宋体"/>
                <w:sz w:val="16"/>
              </w:rPr>
              <w:t>300天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2B23B">
            <w:pPr>
              <w:jc w:val="center"/>
            </w:pPr>
            <w:r>
              <w:rPr>
                <w:rFonts w:ascii="宋体" w:hAnsi="宋体" w:eastAsia="宋体"/>
                <w:sz w:val="16"/>
              </w:rPr>
              <w:t>15</w:t>
            </w:r>
          </w:p>
        </w:tc>
      </w:tr>
      <w:tr w14:paraId="48187E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E1DD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4A57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6A0A0">
            <w:pPr>
              <w:jc w:val="center"/>
            </w:pPr>
            <w:r>
              <w:rPr>
                <w:rFonts w:ascii="宋体" w:hAnsi="宋体" w:eastAsia="宋体"/>
                <w:sz w:val="16"/>
              </w:rPr>
              <w:t>免费开放绩效考评率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D919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062A7">
            <w:pPr>
              <w:jc w:val="center"/>
            </w:pPr>
            <w:r>
              <w:rPr>
                <w:rFonts w:ascii="宋体" w:hAnsi="宋体" w:eastAsia="宋体"/>
                <w:sz w:val="16"/>
              </w:rPr>
              <w:t>免费开放绩效考评率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48C9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B984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744E2">
            <w:pPr>
              <w:jc w:val="center"/>
            </w:pPr>
            <w:r>
              <w:rPr>
                <w:rFonts w:ascii="宋体" w:hAnsi="宋体" w:eastAsia="宋体"/>
                <w:sz w:val="16"/>
              </w:rPr>
              <w:t>15</w:t>
            </w:r>
          </w:p>
        </w:tc>
      </w:tr>
    </w:tbl>
    <w:p w14:paraId="4B34207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29FB6B63">
        <w:tc>
          <w:tcPr>
            <w:tcW w:w="8848" w:type="dxa"/>
            <w:gridSpan w:val="14"/>
            <w:vAlign w:val="center"/>
          </w:tcPr>
          <w:p w14:paraId="0E9A5EF8">
            <w:pPr>
              <w:jc w:val="center"/>
            </w:pPr>
            <w:r>
              <w:rPr>
                <w:rFonts w:ascii="宋体" w:hAnsi="宋体" w:eastAsia="宋体"/>
                <w:sz w:val="24"/>
              </w:rPr>
              <w:t>项目支出绩效自评表</w:t>
            </w:r>
          </w:p>
        </w:tc>
      </w:tr>
      <w:tr w14:paraId="3166C63F">
        <w:tblPrEx>
          <w:tblCellMar>
            <w:top w:w="0" w:type="dxa"/>
            <w:left w:w="108" w:type="dxa"/>
            <w:bottom w:w="0" w:type="dxa"/>
            <w:right w:w="108" w:type="dxa"/>
          </w:tblCellMar>
        </w:tblPrEx>
        <w:tc>
          <w:tcPr>
            <w:tcW w:w="8848" w:type="dxa"/>
            <w:gridSpan w:val="14"/>
            <w:vAlign w:val="center"/>
          </w:tcPr>
          <w:p w14:paraId="6110DDD8">
            <w:pPr>
              <w:jc w:val="center"/>
            </w:pPr>
            <w:r>
              <w:rPr>
                <w:rFonts w:ascii="宋体" w:hAnsi="宋体" w:eastAsia="宋体"/>
                <w:sz w:val="24"/>
              </w:rPr>
              <w:t>(2024年度)</w:t>
            </w:r>
          </w:p>
        </w:tc>
      </w:tr>
      <w:tr w14:paraId="183700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4BD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C63E9C">
            <w:pPr>
              <w:jc w:val="center"/>
            </w:pPr>
            <w:r>
              <w:rPr>
                <w:rFonts w:ascii="宋体" w:hAnsi="宋体" w:eastAsia="宋体"/>
                <w:sz w:val="16"/>
              </w:rPr>
              <w:t>2024年</w:t>
            </w:r>
            <w:r>
              <w:rPr>
                <w:rFonts w:hint="eastAsia" w:ascii="宋体" w:hAnsi="宋体"/>
                <w:sz w:val="16"/>
                <w:lang w:eastAsia="zh-CN"/>
              </w:rPr>
              <w:t>国家级非物质文化遗产</w:t>
            </w:r>
            <w:r>
              <w:rPr>
                <w:rFonts w:ascii="宋体" w:hAnsi="宋体" w:eastAsia="宋体"/>
                <w:sz w:val="16"/>
              </w:rPr>
              <w:t>保护资金项目</w:t>
            </w:r>
          </w:p>
        </w:tc>
      </w:tr>
      <w:tr w14:paraId="3BB0BD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DC3C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0055A2">
            <w:pPr>
              <w:jc w:val="center"/>
            </w:pPr>
            <w:r>
              <w:rPr>
                <w:rFonts w:ascii="宋体" w:hAnsi="宋体" w:eastAsia="宋体"/>
                <w:sz w:val="16"/>
              </w:rPr>
              <w:t>托里县文化馆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72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382F9A">
            <w:pPr>
              <w:jc w:val="center"/>
            </w:pPr>
            <w:r>
              <w:rPr>
                <w:rFonts w:ascii="宋体" w:hAnsi="宋体" w:eastAsia="宋体"/>
                <w:sz w:val="16"/>
              </w:rPr>
              <w:t>托里县文化馆</w:t>
            </w:r>
          </w:p>
        </w:tc>
      </w:tr>
      <w:tr w14:paraId="3E4E97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A1B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C64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E50E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94AA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BEB3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984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AB3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5280">
            <w:pPr>
              <w:jc w:val="center"/>
            </w:pPr>
            <w:r>
              <w:rPr>
                <w:rFonts w:ascii="宋体" w:hAnsi="宋体" w:eastAsia="宋体"/>
                <w:sz w:val="16"/>
              </w:rPr>
              <w:t>得分</w:t>
            </w:r>
          </w:p>
        </w:tc>
      </w:tr>
      <w:tr w14:paraId="17FA90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6EB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C80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6522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F7328">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91D44">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32D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E04A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5E8D">
            <w:pPr>
              <w:jc w:val="center"/>
            </w:pPr>
            <w:r>
              <w:rPr>
                <w:rFonts w:ascii="宋体" w:hAnsi="宋体" w:eastAsia="宋体"/>
                <w:sz w:val="16"/>
              </w:rPr>
              <w:t>10.00</w:t>
            </w:r>
          </w:p>
        </w:tc>
      </w:tr>
      <w:tr w14:paraId="525346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B29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ED6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F134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011BD">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0943C">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B8C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295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C211">
            <w:pPr>
              <w:jc w:val="center"/>
            </w:pPr>
            <w:r>
              <w:rPr>
                <w:rFonts w:ascii="宋体" w:hAnsi="宋体" w:eastAsia="宋体"/>
                <w:sz w:val="16"/>
              </w:rPr>
              <w:t>—</w:t>
            </w:r>
          </w:p>
        </w:tc>
      </w:tr>
      <w:tr w14:paraId="1E39AA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495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F64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562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C09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799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C49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282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1F4A9">
            <w:pPr>
              <w:jc w:val="center"/>
            </w:pPr>
            <w:r>
              <w:rPr>
                <w:rFonts w:ascii="宋体" w:hAnsi="宋体" w:eastAsia="宋体"/>
                <w:sz w:val="16"/>
              </w:rPr>
              <w:t>—</w:t>
            </w:r>
          </w:p>
        </w:tc>
      </w:tr>
      <w:tr w14:paraId="7978AC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0980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0A1A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6F0D6A">
            <w:pPr>
              <w:jc w:val="center"/>
            </w:pPr>
            <w:r>
              <w:rPr>
                <w:rFonts w:ascii="宋体" w:hAnsi="宋体" w:eastAsia="宋体"/>
                <w:sz w:val="16"/>
              </w:rPr>
              <w:t>实际完成情况</w:t>
            </w:r>
          </w:p>
        </w:tc>
      </w:tr>
      <w:tr w14:paraId="72783A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633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459500">
            <w:pPr>
              <w:jc w:val="both"/>
            </w:pPr>
            <w:r>
              <w:rPr>
                <w:rFonts w:ascii="宋体" w:hAnsi="宋体" w:eastAsia="宋体"/>
                <w:sz w:val="16"/>
              </w:rPr>
              <w:t>项目资金为14万元。用于国家级代表性传</w:t>
            </w:r>
            <w:r>
              <w:rPr>
                <w:rFonts w:hint="eastAsia" w:ascii="宋体" w:hAnsi="宋体"/>
                <w:sz w:val="16"/>
                <w:lang w:eastAsia="zh-CN"/>
              </w:rPr>
              <w:t>承人</w:t>
            </w:r>
            <w:r>
              <w:rPr>
                <w:rFonts w:ascii="宋体" w:hAnsi="宋体" w:eastAsia="宋体"/>
                <w:sz w:val="16"/>
              </w:rPr>
              <w:t>1人完成国家级代表性非物质文化草编哈萨克族芨芨草编制技艺，扩大该项目在社会</w:t>
            </w:r>
            <w:r>
              <w:rPr>
                <w:rFonts w:hint="eastAsia" w:ascii="宋体" w:hAnsi="宋体"/>
                <w:sz w:val="16"/>
                <w:lang w:eastAsia="zh-CN"/>
              </w:rPr>
              <w:t>中的</w:t>
            </w:r>
            <w:r>
              <w:rPr>
                <w:rFonts w:ascii="宋体" w:hAnsi="宋体" w:eastAsia="宋体"/>
                <w:sz w:val="16"/>
              </w:rPr>
              <w:t>影响力和知名度，使哈萨克族芨芨草编制技艺得到持续发展,对入选国家级代表性项目保护，推动非遗保护传承工作，国家级代表性传承人满意度达到90%。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AB86C8">
            <w:pPr>
              <w:jc w:val="both"/>
            </w:pPr>
            <w:r>
              <w:rPr>
                <w:rFonts w:ascii="宋体" w:hAnsi="宋体" w:eastAsia="宋体"/>
                <w:sz w:val="16"/>
              </w:rPr>
              <w:t>项目资金为14万元。用于国家级代表性传承人补助2万元，</w:t>
            </w:r>
            <w:r>
              <w:rPr>
                <w:rFonts w:hint="eastAsia" w:ascii="宋体" w:hAnsi="宋体"/>
                <w:sz w:val="16"/>
                <w:lang w:eastAsia="zh-CN"/>
              </w:rPr>
              <w:t>国家级非物质文化遗产</w:t>
            </w:r>
            <w:r>
              <w:rPr>
                <w:rFonts w:ascii="宋体" w:hAnsi="宋体" w:eastAsia="宋体"/>
                <w:sz w:val="16"/>
              </w:rPr>
              <w:t>保护活动12万元，扩大该项目在社会</w:t>
            </w:r>
            <w:r>
              <w:rPr>
                <w:rFonts w:hint="eastAsia" w:ascii="宋体" w:hAnsi="宋体"/>
                <w:sz w:val="16"/>
                <w:lang w:eastAsia="zh-CN"/>
              </w:rPr>
              <w:t>中的</w:t>
            </w:r>
            <w:r>
              <w:rPr>
                <w:rFonts w:ascii="宋体" w:hAnsi="宋体" w:eastAsia="宋体"/>
                <w:sz w:val="16"/>
              </w:rPr>
              <w:t>影响力和知名度，使哈萨克族芨芨草编制技艺得到持续发展,对入选国家级代表性项目保护，推动非遗保护传承工作。</w:t>
            </w:r>
            <w:r>
              <w:rPr>
                <w:rFonts w:ascii="宋体" w:hAnsi="宋体" w:eastAsia="宋体"/>
                <w:sz w:val="16"/>
              </w:rPr>
              <w:br w:type="textWrapping"/>
            </w:r>
            <w:r>
              <w:rPr>
                <w:rFonts w:ascii="宋体" w:hAnsi="宋体" w:eastAsia="宋体"/>
                <w:sz w:val="16"/>
              </w:rPr>
              <w:t>实际完成目标：</w:t>
            </w:r>
          </w:p>
        </w:tc>
      </w:tr>
      <w:tr w14:paraId="67FD15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AE7F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3AD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C3E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8D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D4C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05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30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CAD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6B4F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FE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0DE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C682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EF25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EA653">
            <w:pPr>
              <w:jc w:val="center"/>
            </w:pPr>
            <w:r>
              <w:rPr>
                <w:rFonts w:ascii="宋体" w:hAnsi="宋体" w:eastAsia="宋体"/>
                <w:sz w:val="16"/>
              </w:rPr>
              <w:t>偏差原因分析及改进措施</w:t>
            </w:r>
          </w:p>
        </w:tc>
      </w:tr>
      <w:tr w14:paraId="40F290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0C4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A7A2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136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D2CD3">
            <w:pPr>
              <w:jc w:val="center"/>
            </w:pPr>
            <w:r>
              <w:rPr>
                <w:rFonts w:ascii="宋体" w:hAnsi="宋体" w:eastAsia="宋体"/>
                <w:sz w:val="16"/>
              </w:rPr>
              <w:t>补助国家级代表性项目个数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A0B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0B6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30E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BCF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83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A88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061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6B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1A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A5B6">
            <w:pPr>
              <w:jc w:val="center"/>
            </w:pPr>
          </w:p>
        </w:tc>
      </w:tr>
      <w:tr w14:paraId="2727F6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337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8E5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B76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C1B5">
            <w:pPr>
              <w:jc w:val="center"/>
            </w:pPr>
            <w:r>
              <w:rPr>
                <w:rFonts w:ascii="宋体" w:hAnsi="宋体" w:eastAsia="宋体"/>
                <w:sz w:val="16"/>
              </w:rPr>
              <w:t>补助在世的国家级代表性传承人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ADDA">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AA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5F7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9ED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EF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416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6A1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94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F4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A07D">
            <w:pPr>
              <w:jc w:val="center"/>
            </w:pPr>
          </w:p>
        </w:tc>
      </w:tr>
      <w:tr w14:paraId="44807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5A9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51C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06DF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07C9">
            <w:pPr>
              <w:jc w:val="center"/>
            </w:pPr>
            <w:r>
              <w:rPr>
                <w:rFonts w:ascii="宋体" w:hAnsi="宋体" w:eastAsia="宋体"/>
                <w:sz w:val="16"/>
              </w:rPr>
              <w:t>国家级代表性项目验收合格率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306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0B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B0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14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F47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ED16">
            <w:pPr>
              <w:jc w:val="center"/>
            </w:pPr>
            <w:r>
              <w:rPr>
                <w:rFonts w:ascii="宋体" w:hAnsi="宋体" w:eastAsia="宋体"/>
                <w:sz w:val="16"/>
              </w:rPr>
              <w:t>说明材料,正式材料,原始凭证,工作资料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C8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105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5A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CE15">
            <w:pPr>
              <w:jc w:val="center"/>
            </w:pPr>
          </w:p>
        </w:tc>
      </w:tr>
      <w:tr w14:paraId="496765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1B8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B5B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01D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C027">
            <w:pPr>
              <w:jc w:val="center"/>
            </w:pPr>
            <w:r>
              <w:rPr>
                <w:rFonts w:ascii="宋体" w:hAnsi="宋体" w:eastAsia="宋体"/>
                <w:sz w:val="16"/>
              </w:rPr>
              <w:t>非遗传承人群培训班结业时间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CB35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A8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9526F">
            <w:pPr>
              <w:jc w:val="center"/>
            </w:pPr>
            <w:r>
              <w:rPr>
                <w:rFonts w:ascii="宋体" w:hAnsi="宋体" w:eastAsia="宋体"/>
                <w:sz w:val="16"/>
              </w:rPr>
              <w:t>2023年12月15日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41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9F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5FEA6">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29A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75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DDF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487B">
            <w:pPr>
              <w:jc w:val="center"/>
            </w:pPr>
          </w:p>
        </w:tc>
      </w:tr>
      <w:tr w14:paraId="0D9028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0AD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BD66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CA8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5A42">
            <w:pPr>
              <w:jc w:val="center"/>
            </w:pPr>
            <w:r>
              <w:rPr>
                <w:rFonts w:ascii="宋体" w:hAnsi="宋体" w:eastAsia="宋体"/>
                <w:sz w:val="16"/>
              </w:rPr>
              <w:t>非遗传承人补助资金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1F41">
            <w:pPr>
              <w:jc w:val="center"/>
            </w:pPr>
            <w:r>
              <w:rPr>
                <w:rFonts w:ascii="宋体" w:hAnsi="宋体" w:eastAsia="宋体"/>
                <w:sz w:val="16"/>
              </w:rPr>
              <w:t>&lt;=2万元/人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2F2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5147">
            <w:pPr>
              <w:jc w:val="center"/>
            </w:pPr>
            <w:r>
              <w:rPr>
                <w:rFonts w:ascii="宋体" w:hAnsi="宋体" w:eastAsia="宋体"/>
                <w:sz w:val="16"/>
              </w:rPr>
              <w: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5F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42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3E1B5">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58EB">
            <w:pPr>
              <w:jc w:val="center"/>
            </w:pPr>
            <w:r>
              <w:rPr>
                <w:rFonts w:ascii="宋体" w:hAnsi="宋体" w:eastAsia="宋体"/>
                <w:sz w:val="16"/>
              </w:rPr>
              <w: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C3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45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58EC">
            <w:pPr>
              <w:jc w:val="center"/>
            </w:pPr>
          </w:p>
        </w:tc>
      </w:tr>
      <w:tr w14:paraId="6A908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B1E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458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25C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BF10D">
            <w:pPr>
              <w:jc w:val="center"/>
            </w:pPr>
            <w:r>
              <w:rPr>
                <w:rFonts w:ascii="宋体" w:hAnsi="宋体" w:eastAsia="宋体"/>
                <w:sz w:val="16"/>
              </w:rPr>
              <w:t>非物质文化遗产保护资金活动费用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DB21">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59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FDF5">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E8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84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820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BDA4">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57E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7B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5BAAC">
            <w:pPr>
              <w:jc w:val="center"/>
            </w:pPr>
          </w:p>
        </w:tc>
      </w:tr>
      <w:tr w14:paraId="727B5C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227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F142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F49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A008">
            <w:pPr>
              <w:jc w:val="center"/>
            </w:pPr>
            <w:r>
              <w:rPr>
                <w:rFonts w:ascii="宋体" w:hAnsi="宋体" w:eastAsia="宋体"/>
                <w:sz w:val="16"/>
              </w:rPr>
              <w:t>非遗传承人增长率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E589">
            <w:pPr>
              <w:jc w:val="center"/>
            </w:pPr>
            <w:r>
              <w:rPr>
                <w:rFonts w:ascii="宋体" w:hAnsi="宋体" w:eastAsia="宋体"/>
                <w:sz w:val="16"/>
              </w:rPr>
              <w:t>&gt;=5%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96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4D4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F8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01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9B7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74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74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E7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BBD0">
            <w:pPr>
              <w:jc w:val="center"/>
            </w:pPr>
          </w:p>
        </w:tc>
      </w:tr>
      <w:tr w14:paraId="5AA74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731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438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36C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20804">
            <w:pPr>
              <w:jc w:val="center"/>
            </w:pPr>
            <w:r>
              <w:rPr>
                <w:rFonts w:ascii="宋体" w:hAnsi="宋体" w:eastAsia="宋体"/>
                <w:sz w:val="16"/>
              </w:rPr>
              <w:t>培训非遗传承人群合格率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6EA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81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15C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B9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97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F851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58B7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44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7A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7ACF1">
            <w:pPr>
              <w:jc w:val="center"/>
            </w:pPr>
          </w:p>
        </w:tc>
      </w:tr>
      <w:tr w14:paraId="5D4BA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6ED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0B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63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37183">
            <w:pPr>
              <w:jc w:val="center"/>
            </w:pPr>
            <w:r>
              <w:rPr>
                <w:rFonts w:ascii="宋体" w:hAnsi="宋体" w:eastAsia="宋体"/>
                <w:sz w:val="16"/>
              </w:rPr>
              <w:t>服务对象满意度指标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DE28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FF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409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F42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A60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B96D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CFE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16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605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0564">
            <w:pPr>
              <w:jc w:val="center"/>
            </w:pPr>
          </w:p>
        </w:tc>
      </w:tr>
      <w:tr w14:paraId="5D96B8E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4E0D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CC57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1357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7119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B2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2888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9C9A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844B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3507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EA9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F1DD4B"/>
        </w:tc>
      </w:tr>
    </w:tbl>
    <w:p w14:paraId="1C40983B">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96"/>
        <w:gridCol w:w="631"/>
        <w:gridCol w:w="629"/>
      </w:tblGrid>
      <w:tr w14:paraId="65BDE936">
        <w:tblPrEx>
          <w:tblCellMar>
            <w:top w:w="0" w:type="dxa"/>
            <w:left w:w="108" w:type="dxa"/>
            <w:bottom w:w="0" w:type="dxa"/>
            <w:right w:w="108" w:type="dxa"/>
          </w:tblCellMar>
        </w:tblPrEx>
        <w:tc>
          <w:tcPr>
            <w:tcW w:w="8848" w:type="dxa"/>
            <w:gridSpan w:val="14"/>
            <w:vAlign w:val="center"/>
          </w:tcPr>
          <w:p w14:paraId="6245A987">
            <w:pPr>
              <w:jc w:val="center"/>
            </w:pPr>
            <w:r>
              <w:rPr>
                <w:rFonts w:ascii="宋体" w:hAnsi="宋体" w:eastAsia="宋体"/>
                <w:sz w:val="24"/>
              </w:rPr>
              <w:t>项目支出绩效自评表</w:t>
            </w:r>
          </w:p>
        </w:tc>
      </w:tr>
      <w:tr w14:paraId="1EAE5397">
        <w:tblPrEx>
          <w:tblCellMar>
            <w:top w:w="0" w:type="dxa"/>
            <w:left w:w="108" w:type="dxa"/>
            <w:bottom w:w="0" w:type="dxa"/>
            <w:right w:w="108" w:type="dxa"/>
          </w:tblCellMar>
        </w:tblPrEx>
        <w:tc>
          <w:tcPr>
            <w:tcW w:w="8848" w:type="dxa"/>
            <w:gridSpan w:val="14"/>
            <w:vAlign w:val="center"/>
          </w:tcPr>
          <w:p w14:paraId="53F1C12E">
            <w:pPr>
              <w:jc w:val="center"/>
            </w:pPr>
            <w:r>
              <w:rPr>
                <w:rFonts w:ascii="宋体" w:hAnsi="宋体" w:eastAsia="宋体"/>
                <w:sz w:val="24"/>
              </w:rPr>
              <w:t>(2024年度)</w:t>
            </w:r>
          </w:p>
        </w:tc>
      </w:tr>
      <w:tr w14:paraId="333320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9D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532F06">
            <w:pPr>
              <w:jc w:val="center"/>
            </w:pPr>
            <w:r>
              <w:rPr>
                <w:rFonts w:ascii="宋体" w:hAnsi="宋体" w:eastAsia="宋体"/>
                <w:sz w:val="16"/>
              </w:rPr>
              <w:t>托里县文化馆2024年文化馆免费开放项目</w:t>
            </w:r>
          </w:p>
        </w:tc>
      </w:tr>
      <w:tr w14:paraId="261257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087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2B980C">
            <w:pPr>
              <w:jc w:val="center"/>
            </w:pPr>
            <w:r>
              <w:rPr>
                <w:rFonts w:ascii="宋体" w:hAnsi="宋体" w:eastAsia="宋体"/>
                <w:sz w:val="16"/>
              </w:rPr>
              <w:t>托里县文化馆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D0B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385924">
            <w:pPr>
              <w:jc w:val="center"/>
            </w:pPr>
            <w:r>
              <w:rPr>
                <w:rFonts w:ascii="宋体" w:hAnsi="宋体" w:eastAsia="宋体"/>
                <w:sz w:val="16"/>
              </w:rPr>
              <w:t>托里县文化馆</w:t>
            </w:r>
          </w:p>
        </w:tc>
      </w:tr>
      <w:tr w14:paraId="480F73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C164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460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EC7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20DC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ED1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036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55C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9AFC">
            <w:pPr>
              <w:jc w:val="center"/>
            </w:pPr>
            <w:r>
              <w:rPr>
                <w:rFonts w:ascii="宋体" w:hAnsi="宋体" w:eastAsia="宋体"/>
                <w:sz w:val="16"/>
              </w:rPr>
              <w:t>得分</w:t>
            </w:r>
          </w:p>
        </w:tc>
      </w:tr>
      <w:tr w14:paraId="7C4F9F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D75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892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B113C">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199A3">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77C8F">
            <w:pPr>
              <w:jc w:val="center"/>
            </w:pPr>
            <w:r>
              <w:rPr>
                <w:rFonts w:ascii="宋体" w:hAnsi="宋体" w:eastAsia="宋体"/>
                <w:sz w:val="16"/>
              </w:rPr>
              <w:t>27.71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684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5CBAF">
            <w:pPr>
              <w:jc w:val="center"/>
            </w:pPr>
            <w:r>
              <w:rPr>
                <w:rFonts w:ascii="宋体" w:hAnsi="宋体" w:eastAsia="宋体"/>
                <w:sz w:val="16"/>
              </w:rPr>
              <w:t>93.61%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126F">
            <w:pPr>
              <w:jc w:val="center"/>
            </w:pPr>
            <w:r>
              <w:rPr>
                <w:rFonts w:ascii="宋体" w:hAnsi="宋体" w:eastAsia="宋体"/>
                <w:sz w:val="16"/>
              </w:rPr>
              <w:t>9.36</w:t>
            </w:r>
          </w:p>
        </w:tc>
      </w:tr>
      <w:tr w14:paraId="45FA16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74D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4B50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9D58A">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37444">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BE356">
            <w:pPr>
              <w:jc w:val="center"/>
            </w:pPr>
            <w:r>
              <w:rPr>
                <w:rFonts w:ascii="宋体" w:hAnsi="宋体" w:eastAsia="宋体"/>
                <w:sz w:val="16"/>
              </w:rPr>
              <w:t>27.71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202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FAC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F7CD">
            <w:pPr>
              <w:jc w:val="center"/>
            </w:pPr>
            <w:r>
              <w:rPr>
                <w:rFonts w:ascii="宋体" w:hAnsi="宋体" w:eastAsia="宋体"/>
                <w:sz w:val="16"/>
              </w:rPr>
              <w:t>—</w:t>
            </w:r>
          </w:p>
        </w:tc>
      </w:tr>
      <w:tr w14:paraId="175DE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0AD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17C9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769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C80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92D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AA1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960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606D">
            <w:pPr>
              <w:jc w:val="center"/>
            </w:pPr>
            <w:r>
              <w:rPr>
                <w:rFonts w:ascii="宋体" w:hAnsi="宋体" w:eastAsia="宋体"/>
                <w:sz w:val="16"/>
              </w:rPr>
              <w:t>—</w:t>
            </w:r>
          </w:p>
        </w:tc>
      </w:tr>
      <w:tr w14:paraId="3B175A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B21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BA51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334D6A">
            <w:pPr>
              <w:jc w:val="center"/>
            </w:pPr>
            <w:r>
              <w:rPr>
                <w:rFonts w:ascii="宋体" w:hAnsi="宋体" w:eastAsia="宋体"/>
                <w:sz w:val="16"/>
              </w:rPr>
              <w:t>实际完成情况</w:t>
            </w:r>
          </w:p>
        </w:tc>
      </w:tr>
      <w:tr w14:paraId="387B2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CCBD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E33968">
            <w:pPr>
              <w:jc w:val="both"/>
            </w:pPr>
            <w:r>
              <w:rPr>
                <w:rFonts w:ascii="宋体" w:hAnsi="宋体" w:eastAsia="宋体"/>
                <w:sz w:val="16"/>
              </w:rPr>
              <w:t>项目资金29.6万元，主要用于文化馆举办7次文化活动，普及性文化艺术类培训项目，举办公益性讲座、展览，开展宣传活动，组织公益性群众文化活动，基层文化骨干业务辅导，民间文化传承活动，业务活动用房小型修缮及零星业务设备更新，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AB3E1D">
            <w:pPr>
              <w:jc w:val="both"/>
            </w:pPr>
            <w:r>
              <w:rPr>
                <w:rFonts w:ascii="宋体" w:hAnsi="宋体" w:eastAsia="宋体"/>
                <w:sz w:val="16"/>
              </w:rPr>
              <w:t>项目资金29.6万元，主要用于文化馆免费开放人员劳务费9.53万元，文化馆免费开放活动费用20.07万元，普及性文化艺术类培训项目，举办公益性讲座、展览，开展宣传活动，组织公益性群众文化活动，基层文化骨干业务辅导，民间文化传承活动，业务活动用房小型修缮及零星业务设备更新。</w:t>
            </w:r>
          </w:p>
        </w:tc>
      </w:tr>
      <w:tr w14:paraId="38BE4C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57E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FDE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B8C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B79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A941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24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F7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4E7F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EB55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93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D9F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8C0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612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2497">
            <w:pPr>
              <w:jc w:val="center"/>
            </w:pPr>
            <w:r>
              <w:rPr>
                <w:rFonts w:ascii="宋体" w:hAnsi="宋体" w:eastAsia="宋体"/>
                <w:sz w:val="16"/>
              </w:rPr>
              <w:t>偏差原因分析及改进措施</w:t>
            </w:r>
          </w:p>
        </w:tc>
      </w:tr>
      <w:tr w14:paraId="1AC9DB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E9A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9C1B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CC2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7C7D">
            <w:pPr>
              <w:jc w:val="center"/>
            </w:pPr>
            <w:r>
              <w:rPr>
                <w:rFonts w:ascii="宋体" w:hAnsi="宋体" w:eastAsia="宋体"/>
                <w:sz w:val="16"/>
              </w:rPr>
              <w:t>免费开放文化馆数量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3E7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15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3D8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D27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1D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74AE">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CCE1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8C8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2D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8B84">
            <w:pPr>
              <w:jc w:val="center"/>
            </w:pPr>
          </w:p>
        </w:tc>
      </w:tr>
      <w:tr w14:paraId="241D88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325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757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54B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2A0D">
            <w:pPr>
              <w:jc w:val="center"/>
            </w:pPr>
            <w:r>
              <w:rPr>
                <w:rFonts w:ascii="宋体" w:hAnsi="宋体" w:eastAsia="宋体"/>
                <w:sz w:val="16"/>
              </w:rPr>
              <w:t>文化活动次数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932A">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8DA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550EF">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994A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DC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FB1B0">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EE676">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C2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83F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DEFCC">
            <w:pPr>
              <w:jc w:val="center"/>
            </w:pPr>
          </w:p>
        </w:tc>
      </w:tr>
      <w:tr w14:paraId="49ED2D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1A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2DB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33A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C014">
            <w:pPr>
              <w:jc w:val="center"/>
            </w:pPr>
            <w:r>
              <w:rPr>
                <w:rFonts w:ascii="宋体" w:hAnsi="宋体" w:eastAsia="宋体"/>
                <w:sz w:val="16"/>
              </w:rPr>
              <w:t>免费开放服务人员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986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B5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1C9D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A939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83C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2F3D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4EF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83A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B39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B2BE7">
            <w:pPr>
              <w:jc w:val="center"/>
            </w:pPr>
          </w:p>
        </w:tc>
      </w:tr>
      <w:tr w14:paraId="222160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4FA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4FF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7D1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E75A">
            <w:pPr>
              <w:jc w:val="center"/>
            </w:pPr>
            <w:r>
              <w:rPr>
                <w:rFonts w:ascii="宋体" w:hAnsi="宋体" w:eastAsia="宋体"/>
                <w:sz w:val="16"/>
              </w:rPr>
              <w:t>免费开放绩效考评率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74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E9E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12D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9E2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9FE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E0534">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5A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0B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A9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C274">
            <w:pPr>
              <w:jc w:val="center"/>
            </w:pPr>
          </w:p>
        </w:tc>
      </w:tr>
      <w:tr w14:paraId="490F64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68C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F40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21F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2641">
            <w:pPr>
              <w:jc w:val="center"/>
            </w:pPr>
            <w:r>
              <w:rPr>
                <w:rFonts w:ascii="宋体" w:hAnsi="宋体" w:eastAsia="宋体"/>
                <w:sz w:val="16"/>
              </w:rPr>
              <w:t>免费开放资金支付及时率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CA2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3F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2C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BDD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0B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CF1B">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7F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AD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D54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C09E">
            <w:pPr>
              <w:jc w:val="center"/>
            </w:pPr>
          </w:p>
        </w:tc>
      </w:tr>
      <w:tr w14:paraId="6FB12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82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F32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1F3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AEEB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2EE4">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4CF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31F0">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D9C2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96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650B">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18E98">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F2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614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395CA">
            <w:pPr>
              <w:jc w:val="center"/>
            </w:pPr>
          </w:p>
        </w:tc>
      </w:tr>
      <w:tr w14:paraId="17C8C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545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3CA8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401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2F555">
            <w:pPr>
              <w:jc w:val="center"/>
            </w:pPr>
            <w:r>
              <w:rPr>
                <w:rFonts w:ascii="宋体" w:hAnsi="宋体" w:eastAsia="宋体"/>
                <w:sz w:val="16"/>
              </w:rPr>
              <w:t>临聘人员劳务费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EFD43">
            <w:pPr>
              <w:jc w:val="center"/>
            </w:pPr>
            <w:r>
              <w:rPr>
                <w:rFonts w:ascii="宋体" w:hAnsi="宋体" w:eastAsia="宋体"/>
                <w:sz w:val="16"/>
              </w:rPr>
              <w:t>&lt;=9.53万元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D3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1DD18">
            <w:pPr>
              <w:jc w:val="center"/>
            </w:pPr>
            <w:r>
              <w:rPr>
                <w:rFonts w:ascii="宋体" w:hAnsi="宋体" w:eastAsia="宋体"/>
                <w:sz w:val="16"/>
              </w:rPr>
              <w:t>9.19万元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12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FD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78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E6BBA">
            <w:pPr>
              <w:jc w:val="center"/>
            </w:pPr>
            <w:r>
              <w:rPr>
                <w:rFonts w:ascii="宋体" w:hAnsi="宋体" w:eastAsia="宋体"/>
                <w:sz w:val="16"/>
              </w:rPr>
              <w:t>=9.53万元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3C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23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9771">
            <w:pPr>
              <w:jc w:val="center"/>
            </w:pPr>
          </w:p>
        </w:tc>
      </w:tr>
      <w:tr w14:paraId="05813B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F65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1B0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C59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938A4">
            <w:pPr>
              <w:jc w:val="center"/>
            </w:pPr>
            <w:r>
              <w:rPr>
                <w:rFonts w:ascii="宋体" w:hAnsi="宋体" w:eastAsia="宋体"/>
                <w:sz w:val="16"/>
              </w:rPr>
              <w:t>文化馆免费开放资金活动费用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1BD9">
            <w:pPr>
              <w:jc w:val="center"/>
            </w:pPr>
            <w:r>
              <w:rPr>
                <w:rFonts w:ascii="宋体" w:hAnsi="宋体" w:eastAsia="宋体"/>
                <w:sz w:val="16"/>
              </w:rPr>
              <w:t>&lt;=20.07万元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15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C1A6">
            <w:pPr>
              <w:jc w:val="center"/>
            </w:pPr>
            <w:r>
              <w:rPr>
                <w:rFonts w:ascii="宋体" w:hAnsi="宋体" w:eastAsia="宋体"/>
                <w:sz w:val="16"/>
              </w:rPr>
              <w:t>20.41万元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D56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BA4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C4BD">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4593F">
            <w:pPr>
              <w:jc w:val="center"/>
            </w:pPr>
            <w:r>
              <w:rPr>
                <w:rFonts w:ascii="宋体" w:hAnsi="宋体" w:eastAsia="宋体"/>
                <w:sz w:val="16"/>
              </w:rPr>
              <w:t>=20.07万元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7B76">
            <w:pPr>
              <w:jc w:val="center"/>
            </w:pPr>
            <w:r>
              <w:rPr>
                <w:rFonts w:ascii="宋体" w:hAnsi="宋体" w:eastAsia="宋体"/>
                <w:sz w:val="16"/>
              </w:rPr>
              <w:t>93.61%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4488">
            <w:pPr>
              <w:jc w:val="center"/>
            </w:pPr>
            <w:r>
              <w:rPr>
                <w:rFonts w:ascii="宋体" w:hAnsi="宋体" w:eastAsia="宋体"/>
                <w:sz w:val="16"/>
              </w:rPr>
              <w:t>9.36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74F5">
            <w:pPr>
              <w:jc w:val="center"/>
            </w:pPr>
            <w:r>
              <w:rPr>
                <w:rFonts w:ascii="宋体" w:hAnsi="宋体" w:eastAsia="宋体"/>
                <w:sz w:val="16"/>
              </w:rPr>
              <w:t>因未及时推进项目进度。改进措施：在年初计划好活动数量及形式，相应进行预算安排。</w:t>
            </w:r>
          </w:p>
        </w:tc>
      </w:tr>
      <w:tr w14:paraId="371E20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0F8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2E96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E08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F003D">
            <w:pPr>
              <w:jc w:val="center"/>
            </w:pPr>
            <w:r>
              <w:rPr>
                <w:rFonts w:ascii="宋体" w:hAnsi="宋体" w:eastAsia="宋体"/>
                <w:sz w:val="16"/>
              </w:rPr>
              <w:t>提高文化文艺覆盖面影响力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6A2E0">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82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49CF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2C2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85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8670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7AC2C">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F0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FC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14248">
            <w:pPr>
              <w:jc w:val="center"/>
            </w:pPr>
          </w:p>
        </w:tc>
      </w:tr>
      <w:tr w14:paraId="2F426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89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4D0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435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4C4D">
            <w:pPr>
              <w:jc w:val="center"/>
            </w:pPr>
            <w:r>
              <w:rPr>
                <w:rFonts w:ascii="宋体" w:hAnsi="宋体" w:eastAsia="宋体"/>
                <w:sz w:val="16"/>
              </w:rPr>
              <w:t>促进民族文化交流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E87D">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3BA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078E">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8FB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6E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18F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EEAF1">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CFB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A5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E4B7">
            <w:pPr>
              <w:jc w:val="center"/>
            </w:pPr>
          </w:p>
        </w:tc>
      </w:tr>
      <w:tr w14:paraId="720550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4C0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6B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9A1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7805">
            <w:pPr>
              <w:jc w:val="center"/>
            </w:pPr>
            <w:r>
              <w:rPr>
                <w:rFonts w:ascii="宋体" w:hAnsi="宋体" w:eastAsia="宋体"/>
                <w:sz w:val="16"/>
              </w:rPr>
              <w:t>观看群众满意度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8D0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D6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5A0D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2C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41B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265C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FBF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0F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8B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C95F">
            <w:pPr>
              <w:jc w:val="center"/>
            </w:pPr>
          </w:p>
        </w:tc>
      </w:tr>
      <w:tr w14:paraId="3C7DFF7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61D4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955D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01CC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7700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3E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353C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8392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F9CF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F9EF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BB8A">
            <w:pPr>
              <w:jc w:val="center"/>
            </w:pPr>
            <w:r>
              <w:rPr>
                <w:rFonts w:ascii="宋体" w:hAnsi="宋体" w:eastAsia="宋体"/>
                <w:sz w:val="16"/>
              </w:rPr>
              <w:t>98.72分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0FF599"/>
        </w:tc>
      </w:tr>
    </w:tbl>
    <w:p w14:paraId="476FF3C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B991A19">
        <w:tblPrEx>
          <w:tblCellMar>
            <w:top w:w="0" w:type="dxa"/>
            <w:left w:w="108" w:type="dxa"/>
            <w:bottom w:w="0" w:type="dxa"/>
            <w:right w:w="108" w:type="dxa"/>
          </w:tblCellMar>
        </w:tblPrEx>
        <w:tc>
          <w:tcPr>
            <w:tcW w:w="8848" w:type="dxa"/>
            <w:gridSpan w:val="14"/>
            <w:vAlign w:val="center"/>
          </w:tcPr>
          <w:p w14:paraId="1D752230">
            <w:pPr>
              <w:jc w:val="center"/>
            </w:pPr>
            <w:r>
              <w:rPr>
                <w:rFonts w:ascii="宋体" w:hAnsi="宋体" w:eastAsia="宋体"/>
                <w:sz w:val="24"/>
              </w:rPr>
              <w:t>项目支出绩效自评表</w:t>
            </w:r>
          </w:p>
        </w:tc>
      </w:tr>
      <w:tr w14:paraId="7E57F6CA">
        <w:tblPrEx>
          <w:tblCellMar>
            <w:top w:w="0" w:type="dxa"/>
            <w:left w:w="108" w:type="dxa"/>
            <w:bottom w:w="0" w:type="dxa"/>
            <w:right w:w="108" w:type="dxa"/>
          </w:tblCellMar>
        </w:tblPrEx>
        <w:tc>
          <w:tcPr>
            <w:tcW w:w="8848" w:type="dxa"/>
            <w:gridSpan w:val="14"/>
            <w:vAlign w:val="center"/>
          </w:tcPr>
          <w:p w14:paraId="59BD9FBD">
            <w:pPr>
              <w:jc w:val="center"/>
            </w:pPr>
            <w:r>
              <w:rPr>
                <w:rFonts w:ascii="宋体" w:hAnsi="宋体" w:eastAsia="宋体"/>
                <w:sz w:val="24"/>
              </w:rPr>
              <w:t>(2024年度)</w:t>
            </w:r>
          </w:p>
        </w:tc>
      </w:tr>
      <w:tr w14:paraId="05EDD0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69D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D382EE">
            <w:pPr>
              <w:jc w:val="center"/>
            </w:pPr>
            <w:r>
              <w:rPr>
                <w:rFonts w:ascii="宋体" w:hAnsi="宋体" w:eastAsia="宋体"/>
                <w:sz w:val="16"/>
              </w:rPr>
              <w:t>托里县文化馆2024年贫困地区戏曲进乡村补助资金项目</w:t>
            </w:r>
          </w:p>
        </w:tc>
      </w:tr>
      <w:tr w14:paraId="1EBA78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A49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CE828A">
            <w:pPr>
              <w:jc w:val="center"/>
            </w:pPr>
            <w:r>
              <w:rPr>
                <w:rFonts w:ascii="宋体" w:hAnsi="宋体" w:eastAsia="宋体"/>
                <w:sz w:val="16"/>
              </w:rPr>
              <w:t>托里县文化馆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741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B8B6AD">
            <w:pPr>
              <w:jc w:val="center"/>
            </w:pPr>
            <w:r>
              <w:rPr>
                <w:rFonts w:ascii="宋体" w:hAnsi="宋体" w:eastAsia="宋体"/>
                <w:sz w:val="16"/>
              </w:rPr>
              <w:t>托里县文化馆</w:t>
            </w:r>
          </w:p>
        </w:tc>
      </w:tr>
      <w:tr w14:paraId="5B596D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B3BB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BC4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DE0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9DB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F6A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7F5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FE0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D87BA">
            <w:pPr>
              <w:jc w:val="center"/>
            </w:pPr>
            <w:r>
              <w:rPr>
                <w:rFonts w:ascii="宋体" w:hAnsi="宋体" w:eastAsia="宋体"/>
                <w:sz w:val="16"/>
              </w:rPr>
              <w:t>得分</w:t>
            </w:r>
          </w:p>
        </w:tc>
      </w:tr>
      <w:tr w14:paraId="169074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ED9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596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888E8">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9067E">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D3EB9">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FE3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9F84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CE604">
            <w:pPr>
              <w:jc w:val="center"/>
            </w:pPr>
            <w:r>
              <w:rPr>
                <w:rFonts w:ascii="宋体" w:hAnsi="宋体" w:eastAsia="宋体"/>
                <w:sz w:val="16"/>
              </w:rPr>
              <w:t>10.00</w:t>
            </w:r>
          </w:p>
        </w:tc>
      </w:tr>
      <w:tr w14:paraId="0F5655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301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E830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2D3E2">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3CF43">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DDFEF">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B7C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30B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EBF0">
            <w:pPr>
              <w:jc w:val="center"/>
            </w:pPr>
            <w:r>
              <w:rPr>
                <w:rFonts w:ascii="宋体" w:hAnsi="宋体" w:eastAsia="宋体"/>
                <w:sz w:val="16"/>
              </w:rPr>
              <w:t>—</w:t>
            </w:r>
          </w:p>
        </w:tc>
      </w:tr>
      <w:tr w14:paraId="0397F1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BB2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41E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BB9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D02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B6C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451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BA7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E901B">
            <w:pPr>
              <w:jc w:val="center"/>
            </w:pPr>
            <w:r>
              <w:rPr>
                <w:rFonts w:ascii="宋体" w:hAnsi="宋体" w:eastAsia="宋体"/>
                <w:sz w:val="16"/>
              </w:rPr>
              <w:t>—</w:t>
            </w:r>
          </w:p>
        </w:tc>
      </w:tr>
      <w:tr w14:paraId="49F0EE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9577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EA36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852237">
            <w:pPr>
              <w:jc w:val="center"/>
            </w:pPr>
            <w:r>
              <w:rPr>
                <w:rFonts w:ascii="宋体" w:hAnsi="宋体" w:eastAsia="宋体"/>
                <w:sz w:val="16"/>
              </w:rPr>
              <w:t>实际完成情况</w:t>
            </w:r>
          </w:p>
        </w:tc>
      </w:tr>
      <w:tr w14:paraId="75ACA6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342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3953EB">
            <w:pPr>
              <w:jc w:val="both"/>
            </w:pPr>
            <w:r>
              <w:rPr>
                <w:rFonts w:ascii="宋体" w:hAnsi="宋体" w:eastAsia="宋体"/>
                <w:sz w:val="16"/>
              </w:rPr>
              <w:t>项目资金14万元，贫困地区戏曲进乡村专项经费用于7个乡镇戏曲进乡村，每个乡镇每年配送4场演出，每年演出数量不少于28场次，每场次补助经费不大于0.5万元。通过戏曲进乡村，增加农村公共文化服务总量，解决农民看戏难的问题，形成政府、市场、社会协同推动农村文化建设的良好局面。不断满足基层群众的精神文化需求，增强基层群众对公共文化服务的获得感,用先进文化占领农村文化阵地，培育文明乡风，建设美丽乡村，2024在全国范围实现戏曲进乡村制度化、常态化、普及化，群众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47FF45">
            <w:pPr>
              <w:jc w:val="both"/>
            </w:pPr>
            <w:r>
              <w:rPr>
                <w:rFonts w:ascii="宋体" w:hAnsi="宋体" w:eastAsia="宋体"/>
                <w:sz w:val="16"/>
              </w:rPr>
              <w:t>项目资金14万元，贫困地区戏曲进乡村专项经费用于7个乡镇戏曲进乡村，每个乡镇每年配送4场演出，演出数量28场次，每场次补助经费0.5万元。通过戏曲进乡村，增加农村公共文化服务总量，解决农民看戏难的问题，形成政府、市场、社会协同推动农村文化建设的良好局面。不断满足基层群众的精神文化需求，增强基层群众对公共文化服务的获得感,用先进文化占领农村文化阵地，培育文明乡风，建设美丽乡村，2024在全国范围实现戏曲进乡村制度化、常态化、普及化。</w:t>
            </w:r>
          </w:p>
        </w:tc>
      </w:tr>
      <w:tr w14:paraId="3900CF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D108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D47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27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71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BF4F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BA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4A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D3F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217D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96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ED0C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7BF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4D15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18E7">
            <w:pPr>
              <w:jc w:val="center"/>
            </w:pPr>
            <w:r>
              <w:rPr>
                <w:rFonts w:ascii="宋体" w:hAnsi="宋体" w:eastAsia="宋体"/>
                <w:sz w:val="16"/>
              </w:rPr>
              <w:t>偏差原因分析及改进措施</w:t>
            </w:r>
          </w:p>
        </w:tc>
      </w:tr>
      <w:tr w14:paraId="10AFA0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90A7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754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E6D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E1F16">
            <w:pPr>
              <w:jc w:val="center"/>
            </w:pPr>
            <w:r>
              <w:rPr>
                <w:rFonts w:ascii="宋体" w:hAnsi="宋体" w:eastAsia="宋体"/>
                <w:sz w:val="16"/>
              </w:rPr>
              <w:t>项目覆盖乡镇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4CE1F">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57A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6B50">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70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2F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2ED36">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974D9">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2F8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4D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0D341">
            <w:pPr>
              <w:jc w:val="center"/>
            </w:pPr>
          </w:p>
        </w:tc>
      </w:tr>
      <w:tr w14:paraId="0F20CE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421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14C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88A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C0D1">
            <w:pPr>
              <w:jc w:val="center"/>
            </w:pPr>
            <w:r>
              <w:rPr>
                <w:rFonts w:ascii="宋体" w:hAnsi="宋体" w:eastAsia="宋体"/>
                <w:sz w:val="16"/>
              </w:rPr>
              <w:t>全年演出送戏曲活动场次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E421A">
            <w:pPr>
              <w:jc w:val="center"/>
            </w:pPr>
            <w:r>
              <w:rPr>
                <w:rFonts w:ascii="宋体" w:hAnsi="宋体" w:eastAsia="宋体"/>
                <w:sz w:val="16"/>
              </w:rPr>
              <w:t>&gt;=28场次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AF1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17358">
            <w:pPr>
              <w:jc w:val="center"/>
            </w:pPr>
            <w:r>
              <w:rPr>
                <w:rFonts w:ascii="宋体" w:hAnsi="宋体" w:eastAsia="宋体"/>
                <w:sz w:val="16"/>
              </w:rPr>
              <w:t>35场次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78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2D6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63B7">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8B24">
            <w:pPr>
              <w:jc w:val="center"/>
            </w:pPr>
            <w:r>
              <w:rPr>
                <w:rFonts w:ascii="宋体" w:hAnsi="宋体" w:eastAsia="宋体"/>
                <w:sz w:val="16"/>
              </w:rPr>
              <w:t>=28场次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B66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ED6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6601">
            <w:pPr>
              <w:jc w:val="center"/>
            </w:pPr>
          </w:p>
        </w:tc>
      </w:tr>
      <w:tr w14:paraId="7C0289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D33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A99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68C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14B0">
            <w:pPr>
              <w:jc w:val="center"/>
            </w:pPr>
            <w:r>
              <w:rPr>
                <w:rFonts w:ascii="宋体" w:hAnsi="宋体" w:eastAsia="宋体"/>
                <w:sz w:val="16"/>
              </w:rPr>
              <w:t>戏曲进乡村项目在年度重点任务完成率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58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3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7FF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46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69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086E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B3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7B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C63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EC217">
            <w:pPr>
              <w:jc w:val="center"/>
            </w:pPr>
          </w:p>
        </w:tc>
      </w:tr>
      <w:tr w14:paraId="5528EA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D69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D6F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2CE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2BD8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12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29E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ECF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EE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3A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EF6B">
            <w:pPr>
              <w:jc w:val="center"/>
            </w:pPr>
            <w:r>
              <w:rPr>
                <w:rFonts w:ascii="宋体" w:hAnsi="宋体" w:eastAsia="宋体"/>
                <w:sz w:val="16"/>
              </w:rPr>
              <w:t>原始凭证,工作资料,正式材料,说明材料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519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44B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BD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2B05">
            <w:pPr>
              <w:jc w:val="center"/>
            </w:pPr>
          </w:p>
        </w:tc>
      </w:tr>
      <w:tr w14:paraId="7EF4B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F02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4B2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097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4D7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8A4C">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59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C9A8">
            <w:pPr>
              <w:jc w:val="center"/>
            </w:pPr>
            <w:r>
              <w:rPr>
                <w:rFonts w:ascii="宋体" w:hAnsi="宋体" w:eastAsia="宋体"/>
                <w:sz w:val="16"/>
              </w:rPr>
              <w:t>2023年10月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AD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FB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2EC7">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C1D7">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BC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E6C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A92C">
            <w:pPr>
              <w:jc w:val="center"/>
            </w:pPr>
          </w:p>
        </w:tc>
      </w:tr>
      <w:tr w14:paraId="0BA0D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3DD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B4AA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7C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0F7C7">
            <w:pPr>
              <w:jc w:val="center"/>
            </w:pPr>
            <w:r>
              <w:rPr>
                <w:rFonts w:ascii="宋体" w:hAnsi="宋体" w:eastAsia="宋体"/>
                <w:sz w:val="16"/>
              </w:rPr>
              <w:t>戏曲活动每场演出补助经费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99BB">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A7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6C176">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20D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008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E5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F0926">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690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84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0979">
            <w:pPr>
              <w:jc w:val="center"/>
            </w:pPr>
          </w:p>
        </w:tc>
      </w:tr>
      <w:tr w14:paraId="5B56F0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2BC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AB9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2744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F855">
            <w:pPr>
              <w:jc w:val="center"/>
            </w:pPr>
            <w:r>
              <w:rPr>
                <w:rFonts w:ascii="宋体" w:hAnsi="宋体" w:eastAsia="宋体"/>
                <w:sz w:val="16"/>
              </w:rPr>
              <w:t>促进民族文化交流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49B4">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A33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99C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08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280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2E0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A9AE8">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B4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75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A905">
            <w:pPr>
              <w:jc w:val="center"/>
            </w:pPr>
          </w:p>
        </w:tc>
      </w:tr>
      <w:tr w14:paraId="33FEE5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FD7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E8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04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4A67">
            <w:pPr>
              <w:jc w:val="center"/>
            </w:pPr>
            <w:r>
              <w:rPr>
                <w:rFonts w:ascii="宋体" w:hAnsi="宋体" w:eastAsia="宋体"/>
                <w:sz w:val="16"/>
              </w:rPr>
              <w:t>观看群众满意度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841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8C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FFD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AD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5B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C118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CC9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FD7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28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ED955">
            <w:pPr>
              <w:jc w:val="center"/>
            </w:pPr>
          </w:p>
        </w:tc>
      </w:tr>
      <w:tr w14:paraId="47AED05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0F70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E02B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4112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6937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04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1E39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3DE2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975A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F8FA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38E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53618B"/>
        </w:tc>
      </w:tr>
    </w:tbl>
    <w:p w14:paraId="5866A0AA">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7"/>
        <w:gridCol w:w="627"/>
        <w:gridCol w:w="625"/>
        <w:gridCol w:w="625"/>
        <w:gridCol w:w="696"/>
        <w:gridCol w:w="696"/>
        <w:gridCol w:w="632"/>
        <w:gridCol w:w="629"/>
      </w:tblGrid>
      <w:tr w14:paraId="2409C8C6">
        <w:tblPrEx>
          <w:tblCellMar>
            <w:top w:w="0" w:type="dxa"/>
            <w:left w:w="108" w:type="dxa"/>
            <w:bottom w:w="0" w:type="dxa"/>
            <w:right w:w="108" w:type="dxa"/>
          </w:tblCellMar>
        </w:tblPrEx>
        <w:tc>
          <w:tcPr>
            <w:tcW w:w="8848" w:type="dxa"/>
            <w:gridSpan w:val="14"/>
            <w:vAlign w:val="center"/>
          </w:tcPr>
          <w:p w14:paraId="3E228A5B">
            <w:pPr>
              <w:jc w:val="center"/>
            </w:pPr>
            <w:r>
              <w:rPr>
                <w:rFonts w:ascii="宋体" w:hAnsi="宋体" w:eastAsia="宋体"/>
                <w:sz w:val="24"/>
              </w:rPr>
              <w:t>项目支出绩效自评表</w:t>
            </w:r>
          </w:p>
        </w:tc>
      </w:tr>
      <w:tr w14:paraId="7A0CEA4B">
        <w:tblPrEx>
          <w:tblCellMar>
            <w:top w:w="0" w:type="dxa"/>
            <w:left w:w="108" w:type="dxa"/>
            <w:bottom w:w="0" w:type="dxa"/>
            <w:right w:w="108" w:type="dxa"/>
          </w:tblCellMar>
        </w:tblPrEx>
        <w:tc>
          <w:tcPr>
            <w:tcW w:w="8848" w:type="dxa"/>
            <w:gridSpan w:val="14"/>
            <w:vAlign w:val="center"/>
          </w:tcPr>
          <w:p w14:paraId="3D6C6D01">
            <w:pPr>
              <w:jc w:val="center"/>
            </w:pPr>
            <w:r>
              <w:rPr>
                <w:rFonts w:ascii="宋体" w:hAnsi="宋体" w:eastAsia="宋体"/>
                <w:sz w:val="24"/>
              </w:rPr>
              <w:t>(2024年度)</w:t>
            </w:r>
          </w:p>
        </w:tc>
      </w:tr>
      <w:tr w14:paraId="6068AE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88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D4776D">
            <w:pPr>
              <w:jc w:val="center"/>
            </w:pPr>
            <w:r>
              <w:rPr>
                <w:rFonts w:ascii="宋体" w:hAnsi="宋体" w:eastAsia="宋体"/>
                <w:sz w:val="16"/>
              </w:rPr>
              <w:t>2024年人才发展基金（第三批）</w:t>
            </w:r>
          </w:p>
        </w:tc>
      </w:tr>
      <w:tr w14:paraId="766AF9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0D7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077645">
            <w:pPr>
              <w:jc w:val="center"/>
            </w:pPr>
            <w:r>
              <w:rPr>
                <w:rFonts w:ascii="宋体" w:hAnsi="宋体" w:eastAsia="宋体"/>
                <w:sz w:val="16"/>
              </w:rPr>
              <w:t>托里县文化馆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F79E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372C8D">
            <w:pPr>
              <w:jc w:val="center"/>
            </w:pPr>
            <w:r>
              <w:rPr>
                <w:rFonts w:ascii="宋体" w:hAnsi="宋体" w:eastAsia="宋体"/>
                <w:sz w:val="16"/>
              </w:rPr>
              <w:t>托里县文化馆</w:t>
            </w:r>
          </w:p>
        </w:tc>
      </w:tr>
      <w:tr w14:paraId="0F6E10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EAA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C40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FC0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6A39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6CE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F41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5637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A6545">
            <w:pPr>
              <w:jc w:val="center"/>
            </w:pPr>
            <w:r>
              <w:rPr>
                <w:rFonts w:ascii="宋体" w:hAnsi="宋体" w:eastAsia="宋体"/>
                <w:sz w:val="16"/>
              </w:rPr>
              <w:t>得分</w:t>
            </w:r>
          </w:p>
        </w:tc>
      </w:tr>
      <w:tr w14:paraId="271647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79D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746A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11EE9">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2D30A">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FDFF2">
            <w:pPr>
              <w:jc w:val="center"/>
            </w:pPr>
            <w:r>
              <w:rPr>
                <w:rFonts w:ascii="宋体" w:hAnsi="宋体" w:eastAsia="宋体"/>
                <w:sz w:val="16"/>
              </w:rPr>
              <w:t>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CAC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BE35D">
            <w:pPr>
              <w:jc w:val="center"/>
            </w:pPr>
            <w:r>
              <w:rPr>
                <w:rFonts w:ascii="宋体" w:hAnsi="宋体" w:eastAsia="宋体"/>
                <w:sz w:val="16"/>
              </w:rPr>
              <w:t>85.11%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DCC2">
            <w:pPr>
              <w:jc w:val="center"/>
            </w:pPr>
            <w:r>
              <w:rPr>
                <w:rFonts w:ascii="宋体" w:hAnsi="宋体" w:eastAsia="宋体"/>
                <w:sz w:val="16"/>
              </w:rPr>
              <w:t>8.51</w:t>
            </w:r>
          </w:p>
        </w:tc>
      </w:tr>
      <w:tr w14:paraId="671316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9D3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46E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D44A8">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9AB7C">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FCF81">
            <w:pPr>
              <w:jc w:val="center"/>
            </w:pPr>
            <w:r>
              <w:rPr>
                <w:rFonts w:ascii="宋体" w:hAnsi="宋体" w:eastAsia="宋体"/>
                <w:sz w:val="16"/>
              </w:rPr>
              <w:t>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8B2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9B7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9E55">
            <w:pPr>
              <w:jc w:val="center"/>
            </w:pPr>
            <w:r>
              <w:rPr>
                <w:rFonts w:ascii="宋体" w:hAnsi="宋体" w:eastAsia="宋体"/>
                <w:sz w:val="16"/>
              </w:rPr>
              <w:t>—</w:t>
            </w:r>
          </w:p>
        </w:tc>
      </w:tr>
      <w:tr w14:paraId="2EF84C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5B4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C72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874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BE6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F08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2BC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DC9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97BB">
            <w:pPr>
              <w:jc w:val="center"/>
            </w:pPr>
            <w:r>
              <w:rPr>
                <w:rFonts w:ascii="宋体" w:hAnsi="宋体" w:eastAsia="宋体"/>
                <w:sz w:val="16"/>
              </w:rPr>
              <w:t>—</w:t>
            </w:r>
          </w:p>
        </w:tc>
      </w:tr>
      <w:tr w14:paraId="23980C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DBD2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D7F0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CDC159">
            <w:pPr>
              <w:jc w:val="center"/>
            </w:pPr>
            <w:r>
              <w:rPr>
                <w:rFonts w:ascii="宋体" w:hAnsi="宋体" w:eastAsia="宋体"/>
                <w:sz w:val="16"/>
              </w:rPr>
              <w:t>实际完成情况</w:t>
            </w:r>
          </w:p>
        </w:tc>
      </w:tr>
      <w:tr w14:paraId="5BA8F4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57B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F07AA7">
            <w:pPr>
              <w:jc w:val="both"/>
            </w:pPr>
            <w:r>
              <w:rPr>
                <w:rFonts w:ascii="宋体" w:hAnsi="宋体" w:eastAsia="宋体"/>
                <w:sz w:val="16"/>
              </w:rPr>
              <w:t>项目资金4.5万元，用于名家工作室人才项目，提高文化文艺覆盖面影响力，促进民族文化交流，使传统节日得到传承。满意度达到95%，更好</w:t>
            </w:r>
            <w:r>
              <w:rPr>
                <w:rFonts w:hint="eastAsia" w:ascii="宋体" w:hAnsi="宋体"/>
                <w:sz w:val="16"/>
                <w:lang w:eastAsia="zh-CN"/>
              </w:rPr>
              <w:t>地</w:t>
            </w:r>
            <w:r>
              <w:rPr>
                <w:rFonts w:ascii="宋体" w:hAnsi="宋体" w:eastAsia="宋体"/>
                <w:sz w:val="16"/>
              </w:rPr>
              <w:t>传承和发展阿肯阿依特斯文化。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1FA463">
            <w:pPr>
              <w:jc w:val="both"/>
            </w:pPr>
            <w:r>
              <w:rPr>
                <w:rFonts w:ascii="宋体" w:hAnsi="宋体" w:eastAsia="宋体"/>
                <w:sz w:val="16"/>
              </w:rPr>
              <w:t>项目资金4.5万元，用于名家工作室人才项目，举办阿肯阿依特斯活动14840元，用于个人奖金13500元，论文翻译及发布5000元，阿肯培训5000元，提高文化文艺覆盖面影响力，促进民族文化交流，使传统节日得到传承。满意度达到95%，更好</w:t>
            </w:r>
            <w:r>
              <w:rPr>
                <w:rFonts w:hint="eastAsia" w:ascii="宋体" w:hAnsi="宋体"/>
                <w:sz w:val="16"/>
                <w:lang w:eastAsia="zh-CN"/>
              </w:rPr>
              <w:t>地</w:t>
            </w:r>
            <w:r>
              <w:rPr>
                <w:rFonts w:ascii="宋体" w:hAnsi="宋体" w:eastAsia="宋体"/>
                <w:sz w:val="16"/>
              </w:rPr>
              <w:t>传承和发展阿肯阿依特斯文化。</w:t>
            </w:r>
          </w:p>
        </w:tc>
      </w:tr>
      <w:tr w14:paraId="0D3428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EA5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30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971F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64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D2B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C3F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AF1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8E51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6CE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039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C876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7A8B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6963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123EC">
            <w:pPr>
              <w:jc w:val="center"/>
            </w:pPr>
            <w:r>
              <w:rPr>
                <w:rFonts w:ascii="宋体" w:hAnsi="宋体" w:eastAsia="宋体"/>
                <w:sz w:val="16"/>
              </w:rPr>
              <w:t>偏差原因分析及改进措施</w:t>
            </w:r>
          </w:p>
        </w:tc>
      </w:tr>
      <w:tr w14:paraId="3D2529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88E6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D9F7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AB8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4AF2">
            <w:pPr>
              <w:jc w:val="center"/>
            </w:pPr>
            <w:r>
              <w:rPr>
                <w:rFonts w:ascii="宋体" w:hAnsi="宋体" w:eastAsia="宋体"/>
                <w:sz w:val="16"/>
              </w:rPr>
              <w:t>举办阿依特斯文艺晚会次数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634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32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8900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C4D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3E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B5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C25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2C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BF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8443D">
            <w:pPr>
              <w:jc w:val="center"/>
            </w:pPr>
          </w:p>
        </w:tc>
      </w:tr>
      <w:tr w14:paraId="4AC5F3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470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34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D33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E83F7">
            <w:pPr>
              <w:jc w:val="center"/>
            </w:pPr>
            <w:r>
              <w:rPr>
                <w:rFonts w:ascii="宋体" w:hAnsi="宋体" w:eastAsia="宋体"/>
                <w:sz w:val="16"/>
              </w:rPr>
              <w:t>阿依特斯专业培训人数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2D05D">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CA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C9EC">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F4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2A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4F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3603">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3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A9F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5931">
            <w:pPr>
              <w:jc w:val="center"/>
            </w:pPr>
          </w:p>
        </w:tc>
      </w:tr>
      <w:tr w14:paraId="3F679C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29D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BEF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DEC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16D8">
            <w:pPr>
              <w:jc w:val="center"/>
            </w:pPr>
            <w:r>
              <w:rPr>
                <w:rFonts w:ascii="宋体" w:hAnsi="宋体" w:eastAsia="宋体"/>
                <w:sz w:val="16"/>
              </w:rPr>
              <w:t>普查调研涉及乡镇数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5D78">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19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2AAC1">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26C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244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71F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021A">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A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3A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2A1BA">
            <w:pPr>
              <w:jc w:val="center"/>
            </w:pPr>
          </w:p>
        </w:tc>
      </w:tr>
      <w:tr w14:paraId="227395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2EE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67B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D0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9AE00">
            <w:pPr>
              <w:jc w:val="center"/>
            </w:pPr>
            <w:r>
              <w:rPr>
                <w:rFonts w:ascii="宋体" w:hAnsi="宋体" w:eastAsia="宋体"/>
                <w:sz w:val="16"/>
              </w:rPr>
              <w:t>阿依特斯人才项目计划结束效率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409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9E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DAC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C0C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DF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E4E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873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CE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D50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5F39F">
            <w:pPr>
              <w:jc w:val="center"/>
            </w:pPr>
          </w:p>
        </w:tc>
      </w:tr>
      <w:tr w14:paraId="7BA445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4F8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FB42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48B0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5CD6">
            <w:pPr>
              <w:jc w:val="center"/>
            </w:pPr>
            <w:r>
              <w:rPr>
                <w:rFonts w:ascii="宋体" w:hAnsi="宋体" w:eastAsia="宋体"/>
                <w:sz w:val="16"/>
              </w:rPr>
              <w:t>举办阿依特斯文艺晚会费用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A9E2D">
            <w:pPr>
              <w:jc w:val="center"/>
            </w:pPr>
            <w:r>
              <w:rPr>
                <w:rFonts w:ascii="宋体" w:hAnsi="宋体" w:eastAsia="宋体"/>
                <w:sz w:val="16"/>
              </w:rPr>
              <w:t>&lt;=14840元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19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2C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32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8F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96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EB13">
            <w:pPr>
              <w:jc w:val="center"/>
            </w:pPr>
            <w:r>
              <w:rPr>
                <w:rFonts w:ascii="宋体" w:hAnsi="宋体" w:eastAsia="宋体"/>
                <w:sz w:val="16"/>
              </w:rPr>
              <w:t>=14840元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4FF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5F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4AEC">
            <w:pPr>
              <w:jc w:val="center"/>
            </w:pPr>
          </w:p>
        </w:tc>
      </w:tr>
      <w:tr w14:paraId="424757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764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327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215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9B1D">
            <w:pPr>
              <w:jc w:val="center"/>
            </w:pPr>
            <w:r>
              <w:rPr>
                <w:rFonts w:ascii="宋体" w:hAnsi="宋体" w:eastAsia="宋体"/>
                <w:sz w:val="16"/>
              </w:rPr>
              <w:t>阿依特斯专业培训费用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0FB3E">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866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07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AD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51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AD7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7326">
            <w:pPr>
              <w:jc w:val="center"/>
            </w:pPr>
            <w:r>
              <w:rPr>
                <w:rFonts w:ascii="宋体" w:hAnsi="宋体" w:eastAsia="宋体"/>
                <w:sz w:val="16"/>
              </w:rPr>
              <w: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66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68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6610">
            <w:pPr>
              <w:jc w:val="center"/>
            </w:pPr>
          </w:p>
        </w:tc>
      </w:tr>
      <w:tr w14:paraId="64CDF4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9BA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F01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960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785F">
            <w:pPr>
              <w:jc w:val="center"/>
            </w:pPr>
            <w:r>
              <w:rPr>
                <w:rFonts w:ascii="宋体" w:hAnsi="宋体" w:eastAsia="宋体"/>
                <w:sz w:val="16"/>
              </w:rPr>
              <w:t>阿肯阿依特斯项目负责人个人奖金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4E832">
            <w:pPr>
              <w:jc w:val="center"/>
            </w:pPr>
            <w:r>
              <w:rPr>
                <w:rFonts w:ascii="宋体" w:hAnsi="宋体" w:eastAsia="宋体"/>
                <w:sz w:val="16"/>
              </w:rPr>
              <w:t>&lt;=13500元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34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565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8B1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025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C0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787D">
            <w:pPr>
              <w:jc w:val="center"/>
            </w:pPr>
            <w:r>
              <w:rPr>
                <w:rFonts w:ascii="宋体" w:hAnsi="宋体" w:eastAsia="宋体"/>
                <w:sz w:val="16"/>
              </w:rPr>
              <w:t>=13500元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F5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BB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EE9AB">
            <w:pPr>
              <w:jc w:val="center"/>
            </w:pPr>
          </w:p>
        </w:tc>
      </w:tr>
      <w:tr w14:paraId="3466A5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0F2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757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AFF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7DB0B">
            <w:pPr>
              <w:jc w:val="center"/>
            </w:pPr>
            <w:r>
              <w:rPr>
                <w:rFonts w:ascii="宋体" w:hAnsi="宋体" w:eastAsia="宋体"/>
                <w:sz w:val="16"/>
              </w:rPr>
              <w:t>阿肯阿依特斯论文翻译及发布费用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A990B">
            <w:pPr>
              <w:jc w:val="center"/>
            </w:pPr>
            <w:r>
              <w:rPr>
                <w:rFonts w:ascii="宋体" w:hAnsi="宋体" w:eastAsia="宋体"/>
                <w:sz w:val="16"/>
              </w:rPr>
              <w:t>&lt;=11660元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4E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ED1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36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1D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06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D61CD">
            <w:pPr>
              <w:jc w:val="center"/>
            </w:pPr>
            <w:r>
              <w:rPr>
                <w:rFonts w:ascii="宋体" w:hAnsi="宋体" w:eastAsia="宋体"/>
                <w:sz w:val="16"/>
              </w:rPr>
              <w: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94BA">
            <w:pPr>
              <w:jc w:val="center"/>
            </w:pPr>
            <w:r>
              <w:rPr>
                <w:rFonts w:ascii="宋体" w:hAnsi="宋体" w:eastAsia="宋体"/>
                <w:sz w:val="16"/>
              </w:rPr>
              <w:t>42.88%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752E">
            <w:pPr>
              <w:jc w:val="center"/>
            </w:pPr>
            <w:r>
              <w:rPr>
                <w:rFonts w:ascii="宋体" w:hAnsi="宋体" w:eastAsia="宋体"/>
                <w:sz w:val="16"/>
              </w:rPr>
              <w:t>2.14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51598">
            <w:pPr>
              <w:jc w:val="center"/>
            </w:pPr>
            <w:r>
              <w:rPr>
                <w:rFonts w:ascii="宋体" w:hAnsi="宋体" w:eastAsia="宋体"/>
                <w:sz w:val="16"/>
              </w:rPr>
              <w:t>论文翻译完成后还需审核及改进，进而未完成。改进措施：合理安排好项目推进时间。</w:t>
            </w:r>
          </w:p>
        </w:tc>
      </w:tr>
      <w:tr w14:paraId="04E51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49E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E53B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19E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68DA3">
            <w:pPr>
              <w:jc w:val="center"/>
            </w:pPr>
            <w:r>
              <w:rPr>
                <w:rFonts w:ascii="宋体" w:hAnsi="宋体" w:eastAsia="宋体"/>
                <w:sz w:val="16"/>
              </w:rPr>
              <w:t>优秀传统文化传承人群技能艺能的影响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15E8">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0AE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09AA">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15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570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F76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4700">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0C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38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9DD6">
            <w:pPr>
              <w:jc w:val="center"/>
            </w:pPr>
          </w:p>
        </w:tc>
      </w:tr>
      <w:tr w14:paraId="432B11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091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4CF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D53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05932">
            <w:pPr>
              <w:jc w:val="center"/>
            </w:pPr>
            <w:r>
              <w:rPr>
                <w:rFonts w:ascii="宋体" w:hAnsi="宋体" w:eastAsia="宋体"/>
                <w:sz w:val="16"/>
              </w:rPr>
              <w:t>对增强传统文化传承氛围的影响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936F4">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A5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CD4C">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BD7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0C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20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8BF8A">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88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CF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6F271">
            <w:pPr>
              <w:jc w:val="center"/>
            </w:pPr>
          </w:p>
        </w:tc>
      </w:tr>
      <w:tr w14:paraId="56468F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601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6D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24A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D828C">
            <w:pPr>
              <w:jc w:val="center"/>
            </w:pPr>
            <w:r>
              <w:rPr>
                <w:rFonts w:ascii="宋体" w:hAnsi="宋体" w:eastAsia="宋体"/>
                <w:sz w:val="16"/>
              </w:rPr>
              <w:t>观众满意度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F3EC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B3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26D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9A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6E3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90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45E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58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75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659F">
            <w:pPr>
              <w:jc w:val="center"/>
            </w:pPr>
          </w:p>
        </w:tc>
      </w:tr>
      <w:tr w14:paraId="689B57D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A92D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A305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1F34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B2F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3F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0115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1BD2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91AC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8B8C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3DA8">
            <w:pPr>
              <w:jc w:val="center"/>
            </w:pPr>
            <w:r>
              <w:rPr>
                <w:rFonts w:ascii="宋体" w:hAnsi="宋体" w:eastAsia="宋体"/>
                <w:sz w:val="16"/>
              </w:rPr>
              <w:t>95.65分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9FB994"/>
        </w:tc>
      </w:tr>
    </w:tbl>
    <w:p w14:paraId="577B0B95">
      <w:r>
        <w:br w:type="page"/>
      </w:r>
    </w:p>
    <w:p w14:paraId="630331C1">
      <w:pPr>
        <w:spacing w:line="640" w:lineRule="exact"/>
        <w:ind w:firstLine="640"/>
        <w:jc w:val="both"/>
        <w:outlineLvl w:val="2"/>
      </w:pPr>
      <w:r>
        <w:rPr>
          <w:rFonts w:ascii="黑体" w:hAnsi="黑体" w:eastAsia="黑体"/>
          <w:sz w:val="32"/>
        </w:rPr>
        <w:t>十二、其他需说明的事项</w:t>
      </w:r>
    </w:p>
    <w:p w14:paraId="6ACB8FF2">
      <w:pPr>
        <w:spacing w:line="580" w:lineRule="exact"/>
        <w:ind w:firstLine="640"/>
        <w:jc w:val="both"/>
      </w:pPr>
      <w:r>
        <w:rPr>
          <w:rFonts w:ascii="仿宋_GB2312" w:hAnsi="仿宋_GB2312" w:eastAsia="仿宋_GB2312"/>
          <w:b w:val="0"/>
          <w:sz w:val="32"/>
        </w:rPr>
        <w:t>本单位无其他需说明的事项。</w:t>
      </w:r>
    </w:p>
    <w:p w14:paraId="0C3C391A">
      <w:r>
        <w:br w:type="page"/>
      </w:r>
    </w:p>
    <w:p w14:paraId="30B13FCF">
      <w:pPr>
        <w:spacing w:line="240" w:lineRule="auto"/>
        <w:jc w:val="center"/>
        <w:outlineLvl w:val="1"/>
      </w:pPr>
      <w:r>
        <w:rPr>
          <w:rFonts w:ascii="黑体" w:hAnsi="黑体" w:eastAsia="黑体"/>
          <w:sz w:val="32"/>
        </w:rPr>
        <w:t>第三部分 专业名词解释</w:t>
      </w:r>
    </w:p>
    <w:p w14:paraId="2CB1850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088534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FECE41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E32BDC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398DCF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7DF773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CF1C97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F402BE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ECD5A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BE9DC2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B7051E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1D0485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CD0F87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99517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50B4866">
      <w:r>
        <w:br w:type="page"/>
      </w:r>
    </w:p>
    <w:p w14:paraId="69B904E1">
      <w:pPr>
        <w:spacing w:line="240" w:lineRule="auto"/>
        <w:jc w:val="center"/>
        <w:outlineLvl w:val="1"/>
      </w:pPr>
      <w:r>
        <w:rPr>
          <w:rFonts w:ascii="黑体" w:hAnsi="黑体" w:eastAsia="黑体"/>
          <w:sz w:val="32"/>
        </w:rPr>
        <w:t>第四部分 部门决算报表（见附表）</w:t>
      </w:r>
    </w:p>
    <w:p w14:paraId="13029F20">
      <w:pPr>
        <w:spacing w:line="240" w:lineRule="auto"/>
        <w:ind w:firstLine="640"/>
        <w:jc w:val="both"/>
      </w:pPr>
      <w:r>
        <w:rPr>
          <w:rFonts w:ascii="仿宋_GB2312" w:hAnsi="仿宋_GB2312" w:eastAsia="仿宋_GB2312"/>
          <w:b w:val="0"/>
          <w:sz w:val="32"/>
        </w:rPr>
        <w:t>一、《收入支出决算总表》</w:t>
      </w:r>
    </w:p>
    <w:p w14:paraId="60864637">
      <w:pPr>
        <w:spacing w:line="240" w:lineRule="auto"/>
        <w:ind w:firstLine="640"/>
        <w:jc w:val="both"/>
      </w:pPr>
      <w:r>
        <w:rPr>
          <w:rFonts w:ascii="仿宋_GB2312" w:hAnsi="仿宋_GB2312" w:eastAsia="仿宋_GB2312"/>
          <w:b w:val="0"/>
          <w:sz w:val="32"/>
        </w:rPr>
        <w:t>二、《收入决算表》</w:t>
      </w:r>
    </w:p>
    <w:p w14:paraId="68EFE111">
      <w:pPr>
        <w:spacing w:line="240" w:lineRule="auto"/>
        <w:ind w:firstLine="640"/>
        <w:jc w:val="both"/>
      </w:pPr>
      <w:r>
        <w:rPr>
          <w:rFonts w:ascii="仿宋_GB2312" w:hAnsi="仿宋_GB2312" w:eastAsia="仿宋_GB2312"/>
          <w:b w:val="0"/>
          <w:sz w:val="32"/>
        </w:rPr>
        <w:t>三、《支出决算表》</w:t>
      </w:r>
    </w:p>
    <w:p w14:paraId="52B0680F">
      <w:pPr>
        <w:spacing w:line="240" w:lineRule="auto"/>
        <w:ind w:firstLine="640"/>
        <w:jc w:val="both"/>
      </w:pPr>
      <w:r>
        <w:rPr>
          <w:rFonts w:ascii="仿宋_GB2312" w:hAnsi="仿宋_GB2312" w:eastAsia="仿宋_GB2312"/>
          <w:b w:val="0"/>
          <w:sz w:val="32"/>
        </w:rPr>
        <w:t>四、《财政拨款收入支出决算总表》</w:t>
      </w:r>
    </w:p>
    <w:p w14:paraId="0AD8AEFD">
      <w:pPr>
        <w:spacing w:line="240" w:lineRule="auto"/>
        <w:ind w:firstLine="640"/>
        <w:jc w:val="both"/>
      </w:pPr>
      <w:r>
        <w:rPr>
          <w:rFonts w:ascii="仿宋_GB2312" w:hAnsi="仿宋_GB2312" w:eastAsia="仿宋_GB2312"/>
          <w:b w:val="0"/>
          <w:sz w:val="32"/>
        </w:rPr>
        <w:t>五、《一般公共预算财政拨款支出决算表》</w:t>
      </w:r>
    </w:p>
    <w:p w14:paraId="417E9DD3">
      <w:pPr>
        <w:spacing w:line="240" w:lineRule="auto"/>
        <w:ind w:firstLine="640"/>
        <w:jc w:val="both"/>
      </w:pPr>
      <w:r>
        <w:rPr>
          <w:rFonts w:ascii="仿宋_GB2312" w:hAnsi="仿宋_GB2312" w:eastAsia="仿宋_GB2312"/>
          <w:b w:val="0"/>
          <w:sz w:val="32"/>
        </w:rPr>
        <w:t>六、《一般公共预算财政拨款基本支出决算表》</w:t>
      </w:r>
    </w:p>
    <w:p w14:paraId="5ED179CB">
      <w:pPr>
        <w:spacing w:line="240" w:lineRule="auto"/>
        <w:ind w:firstLine="640"/>
        <w:jc w:val="both"/>
      </w:pPr>
      <w:r>
        <w:rPr>
          <w:rFonts w:ascii="仿宋_GB2312" w:hAnsi="仿宋_GB2312" w:eastAsia="仿宋_GB2312"/>
          <w:b w:val="0"/>
          <w:sz w:val="32"/>
        </w:rPr>
        <w:t>七、《政府性基金预算财政拨款收入支出决算表》</w:t>
      </w:r>
    </w:p>
    <w:p w14:paraId="5F473091">
      <w:pPr>
        <w:spacing w:line="240" w:lineRule="auto"/>
        <w:ind w:firstLine="640"/>
        <w:jc w:val="both"/>
      </w:pPr>
      <w:r>
        <w:rPr>
          <w:rFonts w:ascii="仿宋_GB2312" w:hAnsi="仿宋_GB2312" w:eastAsia="仿宋_GB2312"/>
          <w:b w:val="0"/>
          <w:sz w:val="32"/>
        </w:rPr>
        <w:t>八、《国有资本经营预算财政拨款收入支出决算表》</w:t>
      </w:r>
    </w:p>
    <w:p w14:paraId="487ED69D">
      <w:pPr>
        <w:spacing w:line="240" w:lineRule="auto"/>
        <w:ind w:firstLine="640"/>
        <w:jc w:val="both"/>
      </w:pPr>
      <w:r>
        <w:rPr>
          <w:rFonts w:ascii="仿宋_GB2312" w:hAnsi="仿宋_GB2312" w:eastAsia="仿宋_GB2312"/>
          <w:b w:val="0"/>
          <w:sz w:val="32"/>
        </w:rPr>
        <w:t>九、《财政拨款“三公”经费支出决算表》</w:t>
      </w:r>
    </w:p>
    <w:p w14:paraId="084B3FE2">
      <w:pPr>
        <w:spacing w:line="240" w:lineRule="auto"/>
        <w:ind w:firstLine="640"/>
        <w:jc w:val="both"/>
      </w:pPr>
    </w:p>
    <w:p w14:paraId="462A376E">
      <w:pPr>
        <w:spacing w:line="240" w:lineRule="auto"/>
        <w:ind w:firstLine="640"/>
        <w:jc w:val="both"/>
      </w:pPr>
    </w:p>
    <w:p w14:paraId="5556D50A">
      <w:pPr>
        <w:spacing w:line="240" w:lineRule="auto"/>
        <w:ind w:firstLine="640"/>
        <w:jc w:val="both"/>
      </w:pPr>
    </w:p>
    <w:p w14:paraId="69BA05FB">
      <w:pPr>
        <w:spacing w:line="240" w:lineRule="auto"/>
        <w:ind w:firstLine="640"/>
        <w:jc w:val="both"/>
      </w:pPr>
    </w:p>
    <w:p w14:paraId="241F3E4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416DC6-D718-4E15-9823-23C82A149C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A499572-BF39-4D5B-B6B6-56AB34DF1889}"/>
  </w:font>
  <w:font w:name="仿宋_GB2312">
    <w:panose1 w:val="02010609030101010101"/>
    <w:charset w:val="86"/>
    <w:family w:val="modern"/>
    <w:pitch w:val="default"/>
    <w:sig w:usb0="00000001" w:usb1="080E0000" w:usb2="00000000" w:usb3="00000000" w:csb0="00040000" w:csb1="00000000"/>
    <w:embedRegular r:id="rId3" w:fontKey="{C65CEBCB-8415-49B5-9D2E-42A533EC8D8D}"/>
  </w:font>
  <w:font w:name="楷体_GB2312">
    <w:panose1 w:val="02010609030101010101"/>
    <w:charset w:val="86"/>
    <w:family w:val="auto"/>
    <w:pitch w:val="default"/>
    <w:sig w:usb0="00000001" w:usb1="080E0000" w:usb2="00000000" w:usb3="00000000" w:csb0="00040000" w:csb1="00000000"/>
    <w:embedRegular r:id="rId4" w:fontKey="{209CF012-6DE0-4F86-93C8-D7E3F67F7CEE}"/>
  </w:font>
  <w:font w:name="WPSEMBED17">
    <w:panose1 w:val="02010609030101010101"/>
    <w:charset w:val="86"/>
    <w:family w:val="auto"/>
    <w:pitch w:val="default"/>
    <w:sig w:usb0="00000001" w:usb1="080E0000" w:usb2="00000000" w:usb3="00000000" w:csb0="00040000" w:csb1="00000000"/>
  </w:font>
  <w:font w:name="WPSEMBED18">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CA7A8E"/>
    <w:rsid w:val="543D17CB"/>
    <w:rsid w:val="55DA564E"/>
    <w:rsid w:val="56E07045"/>
    <w:rsid w:val="57451479"/>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4622</Words>
  <Characters>5295</Characters>
  <Lines>0</Lines>
  <Paragraphs>0</Paragraphs>
  <TotalTime>5</TotalTime>
  <ScaleCrop>false</ScaleCrop>
  <LinksUpToDate>false</LinksUpToDate>
  <CharactersWithSpaces>5303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2025-10-31T11:11:36Z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