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托里县影剧院2024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12D3BCB">
      <w:r>
        <w:br w:type="page"/>
      </w:r>
    </w:p>
    <w:p w14:paraId="13D253F9">
      <w:pPr>
        <w:spacing w:line="640" w:lineRule="exact"/>
        <w:jc w:val="center"/>
        <w:outlineLvl w:val="1"/>
      </w:pPr>
      <w:r>
        <w:rPr>
          <w:rFonts w:ascii="黑体" w:hAnsi="黑体" w:eastAsia="黑体"/>
          <w:sz w:val="32"/>
        </w:rPr>
        <w:t>第一部分 单位概况</w:t>
      </w:r>
    </w:p>
    <w:p w14:paraId="7E46FEF1">
      <w:pPr>
        <w:spacing w:line="640" w:lineRule="exact"/>
        <w:ind w:firstLine="640"/>
        <w:jc w:val="both"/>
        <w:outlineLvl w:val="2"/>
      </w:pPr>
      <w:r>
        <w:rPr>
          <w:rFonts w:ascii="黑体" w:hAnsi="黑体" w:eastAsia="黑体"/>
          <w:sz w:val="32"/>
        </w:rPr>
        <w:t>一、主要职能</w:t>
      </w:r>
    </w:p>
    <w:p w14:paraId="3A911471">
      <w:pPr>
        <w:spacing w:line="580" w:lineRule="exact"/>
        <w:ind w:firstLine="640"/>
        <w:jc w:val="both"/>
      </w:pPr>
      <w:r>
        <w:rPr>
          <w:rFonts w:ascii="仿宋_GB2312" w:hAnsi="仿宋_GB2312" w:eastAsia="仿宋_GB2312"/>
          <w:sz w:val="32"/>
        </w:rPr>
        <w:t>1.负责全县电影发行放映工作，加强电影发行放映管理工作。</w:t>
      </w:r>
    </w:p>
    <w:p w14:paraId="54587A0D">
      <w:pPr>
        <w:spacing w:line="580" w:lineRule="exact"/>
        <w:ind w:firstLine="640"/>
        <w:jc w:val="both"/>
      </w:pPr>
      <w:r>
        <w:rPr>
          <w:rFonts w:ascii="仿宋_GB2312" w:hAnsi="仿宋_GB2312" w:eastAsia="仿宋_GB2312"/>
          <w:sz w:val="32"/>
        </w:rPr>
        <w:t>2.发展和繁荣电影事业，满足广大人民群众文化生活需求，促进社会主义政治文明、物质文明和精神文明建设。</w:t>
      </w:r>
    </w:p>
    <w:p w14:paraId="44C8171D">
      <w:pPr>
        <w:spacing w:line="580" w:lineRule="exact"/>
        <w:ind w:firstLine="640"/>
        <w:jc w:val="both"/>
      </w:pPr>
      <w:r>
        <w:rPr>
          <w:rFonts w:ascii="仿宋_GB2312" w:hAnsi="仿宋_GB2312" w:eastAsia="仿宋_GB2312"/>
          <w:sz w:val="32"/>
        </w:rPr>
        <w:t>3.开展爱国主义影片进课堂工作，充分发挥电影的思想教育功能。</w:t>
      </w:r>
    </w:p>
    <w:p w14:paraId="4A73775D">
      <w:pPr>
        <w:spacing w:line="580" w:lineRule="exact"/>
        <w:ind w:firstLine="640"/>
        <w:jc w:val="both"/>
      </w:pPr>
      <w:r>
        <w:rPr>
          <w:rFonts w:ascii="仿宋_GB2312" w:hAnsi="仿宋_GB2312" w:eastAsia="仿宋_GB2312"/>
          <w:sz w:val="32"/>
        </w:rPr>
        <w:t>4.负责为全县机关、企（事）业单位、社区、学校放映弘扬时代主旋律影片。</w:t>
      </w:r>
    </w:p>
    <w:p w14:paraId="31A43227">
      <w:pPr>
        <w:spacing w:line="580" w:lineRule="exact"/>
        <w:ind w:firstLine="640"/>
        <w:jc w:val="both"/>
      </w:pPr>
      <w:r>
        <w:rPr>
          <w:rFonts w:ascii="仿宋_GB2312" w:hAnsi="仿宋_GB2312" w:eastAsia="仿宋_GB2312"/>
          <w:sz w:val="32"/>
        </w:rPr>
        <w:t>5.认真贯彻中央精神，</w:t>
      </w:r>
      <w:r>
        <w:rPr>
          <w:rFonts w:hint="eastAsia" w:ascii="仿宋_GB2312" w:hAnsi="仿宋_GB2312" w:eastAsia="仿宋_GB2312"/>
          <w:sz w:val="32"/>
          <w:lang w:eastAsia="zh-CN"/>
        </w:rPr>
        <w:t>全面贯彻落实科学发展观</w:t>
      </w:r>
      <w:r>
        <w:rPr>
          <w:rFonts w:ascii="仿宋_GB2312" w:hAnsi="仿宋_GB2312" w:eastAsia="仿宋_GB2312"/>
          <w:sz w:val="32"/>
        </w:rPr>
        <w:t>和构建和谐社会要求，坚持先进文化的前进方向，进一步繁荣创新，宣传《电影管理条例》,加强对农村放映人员的培训。</w:t>
      </w:r>
    </w:p>
    <w:p w14:paraId="1992F784">
      <w:pPr>
        <w:spacing w:line="640" w:lineRule="exact"/>
        <w:ind w:firstLine="640"/>
        <w:jc w:val="both"/>
        <w:outlineLvl w:val="2"/>
      </w:pPr>
      <w:r>
        <w:rPr>
          <w:rFonts w:ascii="黑体" w:hAnsi="黑体" w:eastAsia="黑体"/>
          <w:sz w:val="32"/>
        </w:rPr>
        <w:t>二、机构设置及人员情况</w:t>
      </w:r>
    </w:p>
    <w:p w14:paraId="13EC7DB3">
      <w:pPr>
        <w:spacing w:line="580" w:lineRule="exact"/>
        <w:ind w:firstLine="640"/>
        <w:jc w:val="both"/>
      </w:pPr>
      <w:r>
        <w:rPr>
          <w:rFonts w:ascii="仿宋_GB2312" w:hAnsi="仿宋_GB2312" w:eastAsia="仿宋_GB2312"/>
          <w:sz w:val="32"/>
        </w:rPr>
        <w:t>托里县影剧院2024年度，实有人数8人，其中：在职人员3人，增加0人；离休人员0人，增加0人；退休人员5人,增加0人。</w:t>
      </w:r>
    </w:p>
    <w:p w14:paraId="440874CF">
      <w:pPr>
        <w:spacing w:line="580" w:lineRule="exact"/>
        <w:ind w:firstLine="640"/>
        <w:jc w:val="both"/>
      </w:pPr>
      <w:r>
        <w:rPr>
          <w:rFonts w:ascii="仿宋_GB2312" w:hAnsi="仿宋_GB2312" w:eastAsia="仿宋_GB2312"/>
          <w:sz w:val="32"/>
        </w:rPr>
        <w:t>托里县影剧院无下属预算单位，下设1个科室，分别是：办公室。</w:t>
      </w:r>
    </w:p>
    <w:p w14:paraId="08EF1954">
      <w:r>
        <w:br w:type="page"/>
      </w:r>
    </w:p>
    <w:p w14:paraId="4B6FD88C">
      <w:pPr>
        <w:spacing w:line="240" w:lineRule="auto"/>
        <w:jc w:val="center"/>
        <w:outlineLvl w:val="1"/>
      </w:pPr>
      <w:r>
        <w:rPr>
          <w:rFonts w:ascii="黑体" w:hAnsi="黑体" w:eastAsia="黑体"/>
          <w:sz w:val="32"/>
        </w:rPr>
        <w:t>第二部分 部门决算情况说明</w:t>
      </w:r>
    </w:p>
    <w:p w14:paraId="538B890A">
      <w:pPr>
        <w:spacing w:line="640" w:lineRule="exact"/>
        <w:ind w:firstLine="640"/>
        <w:jc w:val="both"/>
        <w:outlineLvl w:val="2"/>
      </w:pPr>
      <w:r>
        <w:rPr>
          <w:rFonts w:ascii="黑体" w:hAnsi="黑体" w:eastAsia="黑体"/>
          <w:sz w:val="32"/>
        </w:rPr>
        <w:t>一、收入支出决算总体情况说明</w:t>
      </w:r>
    </w:p>
    <w:p w14:paraId="5A2D776E">
      <w:pPr>
        <w:spacing w:line="580" w:lineRule="exact"/>
        <w:ind w:firstLine="640"/>
        <w:jc w:val="both"/>
      </w:pPr>
      <w:r>
        <w:rPr>
          <w:rFonts w:ascii="仿宋_GB2312" w:hAnsi="仿宋_GB2312" w:eastAsia="仿宋_GB2312"/>
          <w:b/>
          <w:sz w:val="32"/>
        </w:rPr>
        <w:t>2024年度收入总计98.89万元，</w:t>
      </w:r>
      <w:r>
        <w:rPr>
          <w:rFonts w:ascii="仿宋_GB2312" w:hAnsi="仿宋_GB2312" w:eastAsia="仿宋_GB2312"/>
          <w:b w:val="0"/>
          <w:sz w:val="32"/>
        </w:rPr>
        <w:t>其中：本年收入合计94.98万元，使用非财政拨款结余（含专用结余）0.00万元，年初结转和结余3.90万元。</w:t>
      </w:r>
    </w:p>
    <w:p w14:paraId="7772B403">
      <w:pPr>
        <w:spacing w:line="580" w:lineRule="exact"/>
        <w:ind w:firstLine="640"/>
        <w:jc w:val="both"/>
      </w:pPr>
      <w:r>
        <w:rPr>
          <w:rFonts w:ascii="仿宋_GB2312" w:hAnsi="仿宋_GB2312" w:eastAsia="仿宋_GB2312"/>
          <w:b/>
          <w:sz w:val="32"/>
        </w:rPr>
        <w:t>2024年度支出总计98.89万元，</w:t>
      </w:r>
      <w:r>
        <w:rPr>
          <w:rFonts w:ascii="仿宋_GB2312" w:hAnsi="仿宋_GB2312" w:eastAsia="仿宋_GB2312"/>
          <w:b w:val="0"/>
          <w:sz w:val="32"/>
        </w:rPr>
        <w:t>其中：本年支出合计94.58万元，结余分配0.00万元，年末结转和结余4.31万元。</w:t>
      </w:r>
    </w:p>
    <w:p w14:paraId="742C9E09">
      <w:pPr>
        <w:spacing w:line="580" w:lineRule="exact"/>
        <w:ind w:firstLine="640"/>
        <w:jc w:val="both"/>
      </w:pPr>
      <w:r>
        <w:rPr>
          <w:rFonts w:ascii="仿宋_GB2312" w:hAnsi="仿宋_GB2312" w:eastAsia="仿宋_GB2312"/>
          <w:b w:val="0"/>
          <w:sz w:val="32"/>
        </w:rPr>
        <w:t>收入支出总体与上年相比，增加20.69万元，增长26.46%，主要原因是：本年在职人员工资调增，社保、公积金基数调增，发放2017年度，2020年半年绩效工资，相应人员经费增加；本年增加农村电影放映项目资金。</w:t>
      </w:r>
    </w:p>
    <w:p w14:paraId="7AA71BA2">
      <w:pPr>
        <w:spacing w:line="640" w:lineRule="exact"/>
        <w:ind w:firstLine="640"/>
        <w:jc w:val="both"/>
        <w:outlineLvl w:val="2"/>
      </w:pPr>
      <w:r>
        <w:rPr>
          <w:rFonts w:ascii="黑体" w:hAnsi="黑体" w:eastAsia="黑体"/>
          <w:sz w:val="32"/>
        </w:rPr>
        <w:t>二、收入决算情况说明</w:t>
      </w:r>
    </w:p>
    <w:p w14:paraId="7DF00684">
      <w:pPr>
        <w:spacing w:line="580" w:lineRule="exact"/>
        <w:ind w:firstLine="640"/>
        <w:jc w:val="both"/>
      </w:pPr>
      <w:r>
        <w:rPr>
          <w:rFonts w:ascii="仿宋_GB2312" w:hAnsi="仿宋_GB2312" w:eastAsia="仿宋_GB2312"/>
          <w:b/>
          <w:sz w:val="32"/>
        </w:rPr>
        <w:t>本年收入94.98万元，</w:t>
      </w:r>
      <w:r>
        <w:rPr>
          <w:rFonts w:ascii="仿宋_GB2312" w:hAnsi="仿宋_GB2312" w:eastAsia="仿宋_GB2312"/>
          <w:b w:val="0"/>
          <w:sz w:val="32"/>
        </w:rPr>
        <w:t>其中：财政拨款收入87.09万元，占91.69%；上级补助收入0.00万元，占0.00%；事业收入0.00万元，占0.00%；经营收入0.00万元，占0.00%；附属单位上缴收入0.00万元，占0.00%；其他收入7.89万元，占8.31%。</w:t>
      </w:r>
    </w:p>
    <w:p w14:paraId="496C9AD2">
      <w:pPr>
        <w:spacing w:line="640" w:lineRule="exact"/>
        <w:ind w:firstLine="640"/>
        <w:jc w:val="both"/>
        <w:outlineLvl w:val="2"/>
      </w:pPr>
      <w:r>
        <w:rPr>
          <w:rFonts w:ascii="黑体" w:hAnsi="黑体" w:eastAsia="黑体"/>
          <w:sz w:val="32"/>
        </w:rPr>
        <w:t>三、支出决算情况说明</w:t>
      </w:r>
    </w:p>
    <w:p w14:paraId="02327B1A">
      <w:pPr>
        <w:spacing w:line="580" w:lineRule="exact"/>
        <w:ind w:firstLine="640"/>
        <w:jc w:val="both"/>
      </w:pPr>
      <w:r>
        <w:rPr>
          <w:rFonts w:ascii="仿宋_GB2312" w:hAnsi="仿宋_GB2312" w:eastAsia="仿宋_GB2312"/>
          <w:b/>
          <w:sz w:val="32"/>
        </w:rPr>
        <w:t>本年支出94.58万元，</w:t>
      </w:r>
      <w:r>
        <w:rPr>
          <w:rFonts w:ascii="仿宋_GB2312" w:hAnsi="仿宋_GB2312" w:eastAsia="仿宋_GB2312"/>
          <w:b w:val="0"/>
          <w:sz w:val="32"/>
        </w:rPr>
        <w:t>其中：基本支出61.68万元，占65.21%；项目支出32.89万元，占34.77%；上缴上级支出0.00万元，占0.00%；经营支出0.00万元，占0.00%；对附属单位补助支出0.00万元，占0.00%。</w:t>
      </w:r>
    </w:p>
    <w:p w14:paraId="3E64C6E7">
      <w:pPr>
        <w:spacing w:line="640" w:lineRule="exact"/>
        <w:ind w:firstLine="640"/>
        <w:jc w:val="both"/>
        <w:outlineLvl w:val="2"/>
      </w:pPr>
      <w:r>
        <w:rPr>
          <w:rFonts w:ascii="黑体" w:hAnsi="黑体" w:eastAsia="黑体"/>
          <w:sz w:val="32"/>
        </w:rPr>
        <w:t>四、财政拨款收入支出决算总体情况说明</w:t>
      </w:r>
    </w:p>
    <w:p w14:paraId="6C363165">
      <w:pPr>
        <w:spacing w:line="580" w:lineRule="exact"/>
        <w:ind w:firstLine="640"/>
        <w:jc w:val="both"/>
      </w:pPr>
      <w:r>
        <w:rPr>
          <w:rFonts w:ascii="仿宋_GB2312" w:hAnsi="仿宋_GB2312" w:eastAsia="仿宋_GB2312"/>
          <w:b/>
          <w:sz w:val="32"/>
        </w:rPr>
        <w:t>2024年度财政拨款收入总计87.09万元，</w:t>
      </w:r>
      <w:r>
        <w:rPr>
          <w:rFonts w:ascii="仿宋_GB2312" w:hAnsi="仿宋_GB2312" w:eastAsia="仿宋_GB2312"/>
          <w:b w:val="0"/>
          <w:sz w:val="32"/>
        </w:rPr>
        <w:t>其中：年初财政拨款结转和结余0.00万元，本年财政拨款收入87.09万元。</w:t>
      </w:r>
      <w:r>
        <w:rPr>
          <w:rFonts w:ascii="仿宋_GB2312" w:hAnsi="仿宋_GB2312" w:eastAsia="仿宋_GB2312"/>
          <w:b/>
          <w:sz w:val="32"/>
        </w:rPr>
        <w:t>财政拨款支出总计87.09万元，</w:t>
      </w:r>
      <w:r>
        <w:rPr>
          <w:rFonts w:ascii="仿宋_GB2312" w:hAnsi="仿宋_GB2312" w:eastAsia="仿宋_GB2312"/>
          <w:b w:val="0"/>
          <w:sz w:val="32"/>
        </w:rPr>
        <w:t>其中：年末财政拨款结转和结余0.00万元，本年财政拨款支出87.09万元。</w:t>
      </w:r>
    </w:p>
    <w:p w14:paraId="7F2E904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增加16.08万元，增长22.64%，主要原因是：本年在职人员工资调增，社保、公积金基数调增，发放2017年度，2020年半年绩效工资，相应人员经费增加；本年增加农村电影放映项目资金。</w:t>
      </w:r>
      <w:r>
        <w:rPr>
          <w:rFonts w:ascii="仿宋_GB2312" w:hAnsi="仿宋_GB2312" w:eastAsia="仿宋_GB2312"/>
          <w:b/>
          <w:sz w:val="32"/>
        </w:rPr>
        <w:t>与年初预算相比，</w:t>
      </w:r>
      <w:r>
        <w:rPr>
          <w:rFonts w:ascii="仿宋_GB2312" w:hAnsi="仿宋_GB2312" w:eastAsia="仿宋_GB2312"/>
          <w:b w:val="0"/>
          <w:sz w:val="32"/>
        </w:rPr>
        <w:t>年初预算数78.14万元，决算数87.09万元，预决算差异率11.45%，主要原因是：年中追加农村电影放映项目，导致预决算存在差异。</w:t>
      </w:r>
    </w:p>
    <w:p w14:paraId="60D1B272">
      <w:pPr>
        <w:spacing w:line="640" w:lineRule="exact"/>
        <w:ind w:firstLine="640"/>
        <w:jc w:val="both"/>
        <w:outlineLvl w:val="2"/>
      </w:pPr>
      <w:r>
        <w:rPr>
          <w:rFonts w:ascii="黑体" w:hAnsi="黑体" w:eastAsia="黑体"/>
          <w:sz w:val="32"/>
        </w:rPr>
        <w:t>五、一般公共预算财政拨款支出决算情况说明</w:t>
      </w:r>
    </w:p>
    <w:p w14:paraId="38D40A03">
      <w:pPr>
        <w:spacing w:line="640" w:lineRule="exact"/>
        <w:ind w:firstLine="640"/>
        <w:jc w:val="both"/>
        <w:outlineLvl w:val="3"/>
      </w:pPr>
      <w:r>
        <w:rPr>
          <w:rFonts w:ascii="楷体_GB2312" w:hAnsi="楷体_GB2312" w:eastAsia="楷体_GB2312"/>
          <w:b/>
          <w:sz w:val="32"/>
        </w:rPr>
        <w:t>（一）一般公共预算财政拨款支出决算总体情况</w:t>
      </w:r>
    </w:p>
    <w:p w14:paraId="7A263EA6">
      <w:pPr>
        <w:spacing w:line="580" w:lineRule="exact"/>
        <w:ind w:firstLine="640"/>
        <w:jc w:val="both"/>
      </w:pPr>
      <w:r>
        <w:rPr>
          <w:rFonts w:ascii="仿宋_GB2312" w:hAnsi="仿宋_GB2312" w:eastAsia="仿宋_GB2312"/>
          <w:b/>
          <w:sz w:val="32"/>
        </w:rPr>
        <w:t>2024年度一般公共预算财政拨款支出87.09万元，</w:t>
      </w:r>
      <w:r>
        <w:rPr>
          <w:rFonts w:ascii="仿宋_GB2312" w:hAnsi="仿宋_GB2312" w:eastAsia="仿宋_GB2312"/>
          <w:b w:val="0"/>
          <w:sz w:val="32"/>
        </w:rPr>
        <w:t>占本年支出合计的92.08%。</w:t>
      </w:r>
      <w:r>
        <w:rPr>
          <w:rFonts w:ascii="仿宋_GB2312" w:hAnsi="仿宋_GB2312" w:eastAsia="仿宋_GB2312"/>
          <w:b/>
          <w:sz w:val="32"/>
        </w:rPr>
        <w:t>与上年相比，</w:t>
      </w:r>
      <w:r>
        <w:rPr>
          <w:rFonts w:ascii="仿宋_GB2312" w:hAnsi="仿宋_GB2312" w:eastAsia="仿宋_GB2312"/>
          <w:b w:val="0"/>
          <w:sz w:val="32"/>
        </w:rPr>
        <w:t>增加16.08万元，增长22.64%，主要原因是：本年在职人员工资调增，社保、公积金基数调增，发放2017年度，2020年半年绩效工资，相应人员经费增加；本年增加农村电影放映项目资金。</w:t>
      </w:r>
      <w:r>
        <w:rPr>
          <w:rFonts w:ascii="仿宋_GB2312" w:hAnsi="仿宋_GB2312" w:eastAsia="仿宋_GB2312"/>
          <w:b/>
          <w:sz w:val="32"/>
        </w:rPr>
        <w:t>与年初预算相比,</w:t>
      </w:r>
      <w:r>
        <w:rPr>
          <w:rFonts w:ascii="仿宋_GB2312" w:hAnsi="仿宋_GB2312" w:eastAsia="仿宋_GB2312"/>
          <w:b w:val="0"/>
          <w:sz w:val="32"/>
        </w:rPr>
        <w:t>年初预算数78.14万元，决算数87.09万元，预决算差异率11.45%，主要原因是：年中追加农村电影放映项目，导致预决算存在差异。</w:t>
      </w:r>
    </w:p>
    <w:p w14:paraId="0F724161">
      <w:pPr>
        <w:spacing w:line="640" w:lineRule="exact"/>
        <w:ind w:firstLine="640"/>
        <w:jc w:val="both"/>
        <w:outlineLvl w:val="3"/>
      </w:pPr>
      <w:r>
        <w:rPr>
          <w:rFonts w:ascii="楷体_GB2312" w:hAnsi="楷体_GB2312" w:eastAsia="楷体_GB2312"/>
          <w:b/>
          <w:sz w:val="32"/>
        </w:rPr>
        <w:t>（二）一般公共预算财政拨款支出决算结构情况</w:t>
      </w:r>
    </w:p>
    <w:p w14:paraId="393D4E02">
      <w:pPr>
        <w:spacing w:line="580" w:lineRule="exact"/>
        <w:ind w:firstLine="640"/>
        <w:jc w:val="both"/>
      </w:pPr>
      <w:r>
        <w:rPr>
          <w:rFonts w:ascii="仿宋_GB2312" w:hAnsi="仿宋_GB2312" w:eastAsia="仿宋_GB2312"/>
          <w:b w:val="0"/>
          <w:sz w:val="32"/>
        </w:rPr>
        <w:t>1.文化旅游体育与传媒支出(类)71.30万元,占81.87%。</w:t>
      </w:r>
    </w:p>
    <w:p w14:paraId="22CD317B">
      <w:pPr>
        <w:spacing w:line="580" w:lineRule="exact"/>
        <w:ind w:firstLine="640"/>
        <w:jc w:val="both"/>
      </w:pPr>
      <w:r>
        <w:rPr>
          <w:rFonts w:ascii="仿宋_GB2312" w:hAnsi="仿宋_GB2312" w:eastAsia="仿宋_GB2312"/>
          <w:b w:val="0"/>
          <w:sz w:val="32"/>
        </w:rPr>
        <w:t>2.社会保障和就业支出(类)9.31万元,占10.69%。</w:t>
      </w:r>
    </w:p>
    <w:p w14:paraId="3C127A6C">
      <w:pPr>
        <w:spacing w:line="580" w:lineRule="exact"/>
        <w:ind w:firstLine="640"/>
        <w:jc w:val="both"/>
      </w:pPr>
      <w:r>
        <w:rPr>
          <w:rFonts w:ascii="仿宋_GB2312" w:hAnsi="仿宋_GB2312" w:eastAsia="仿宋_GB2312"/>
          <w:b w:val="0"/>
          <w:sz w:val="32"/>
        </w:rPr>
        <w:t>3.卫生健康支出(类)2.18万元,占2.50%。</w:t>
      </w:r>
    </w:p>
    <w:p w14:paraId="64C692F6">
      <w:pPr>
        <w:spacing w:line="580" w:lineRule="exact"/>
        <w:ind w:firstLine="640"/>
        <w:jc w:val="both"/>
      </w:pPr>
      <w:r>
        <w:rPr>
          <w:rFonts w:ascii="仿宋_GB2312" w:hAnsi="仿宋_GB2312" w:eastAsia="仿宋_GB2312"/>
          <w:b w:val="0"/>
          <w:sz w:val="32"/>
        </w:rPr>
        <w:t>4.住房保障支出(类)4.31万元,占4.95%。</w:t>
      </w:r>
    </w:p>
    <w:p w14:paraId="0892D65A">
      <w:pPr>
        <w:spacing w:line="640" w:lineRule="exact"/>
        <w:ind w:firstLine="640"/>
        <w:jc w:val="both"/>
        <w:outlineLvl w:val="3"/>
      </w:pPr>
      <w:r>
        <w:rPr>
          <w:rFonts w:ascii="楷体_GB2312" w:hAnsi="楷体_GB2312" w:eastAsia="楷体_GB2312"/>
          <w:b/>
          <w:sz w:val="32"/>
        </w:rPr>
        <w:t>（三）一般公共预算财政拨款支出决算具体情况</w:t>
      </w:r>
    </w:p>
    <w:p w14:paraId="5A49C388">
      <w:pPr>
        <w:spacing w:line="580" w:lineRule="exact"/>
        <w:ind w:firstLine="640"/>
        <w:jc w:val="both"/>
      </w:pPr>
      <w:r>
        <w:rPr>
          <w:rFonts w:ascii="仿宋_GB2312" w:hAnsi="仿宋_GB2312" w:eastAsia="仿宋_GB2312"/>
          <w:b w:val="0"/>
          <w:sz w:val="32"/>
        </w:rPr>
        <w:t>1.文化旅游体育与传媒支出(类)文化和旅游(款)其他文化和旅游支出(项):支出决算数为45.89万元，比上年决算增加8.91万元，增长24.09%,主要原因是：本年在职人员工资调增，发放人员2017年度，2020年半年绩效工资，人员经费增加。</w:t>
      </w:r>
    </w:p>
    <w:p w14:paraId="16D593B6">
      <w:pPr>
        <w:spacing w:line="580" w:lineRule="exact"/>
        <w:ind w:firstLine="640"/>
        <w:jc w:val="both"/>
      </w:pPr>
      <w:r>
        <w:rPr>
          <w:rFonts w:ascii="仿宋_GB2312" w:hAnsi="仿宋_GB2312" w:eastAsia="仿宋_GB2312"/>
          <w:b w:val="0"/>
          <w:sz w:val="32"/>
        </w:rPr>
        <w:t>2.文化旅游体育与传媒支出(类)其他文化旅游体育与传媒支出(款)其他文化旅游体育与传媒支出(项):支出决算数为25.40万元，比上年决算增加9.74万元，增长62.20%,主要原因是：本年增加农村电影放映项目资金。</w:t>
      </w:r>
    </w:p>
    <w:p w14:paraId="142AA7D9">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4.09万元，比上年决算减少4.04万元，下降49.69%,主要原因是：上年退休人员死亡一人，发放抚恤金，本年无抚恤金支出，相关支出减少。</w:t>
      </w:r>
    </w:p>
    <w:p w14:paraId="3B1A1817">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5.22万元，比上年决算增加0.72万元，增长16.00%,主要原因是：本年在职人员工资基数调增，养老缴费基数上涨，相应支出增加。</w:t>
      </w:r>
    </w:p>
    <w:p w14:paraId="12EF33D7">
      <w:pPr>
        <w:spacing w:line="580" w:lineRule="exact"/>
        <w:ind w:firstLine="640"/>
        <w:jc w:val="both"/>
      </w:pPr>
      <w:r>
        <w:rPr>
          <w:rFonts w:ascii="仿宋_GB2312" w:hAnsi="仿宋_GB2312" w:eastAsia="仿宋_GB2312"/>
          <w:b w:val="0"/>
          <w:sz w:val="32"/>
        </w:rPr>
        <w:t>5.卫生健康支出(类)行政事业单位医疗(款)事业单位医疗(项):支出决算数为2.18万元，比上年决算增加0.14万元，增长6.86%,主要原因是：本年在职人员工资基数调增，医疗缴费基数上涨，相应支出增加。</w:t>
      </w:r>
    </w:p>
    <w:p w14:paraId="4AB513E3">
      <w:pPr>
        <w:spacing w:line="580" w:lineRule="exact"/>
        <w:ind w:firstLine="640"/>
        <w:jc w:val="both"/>
      </w:pPr>
      <w:r>
        <w:rPr>
          <w:rFonts w:ascii="仿宋_GB2312" w:hAnsi="仿宋_GB2312" w:eastAsia="仿宋_GB2312"/>
          <w:b w:val="0"/>
          <w:sz w:val="32"/>
        </w:rPr>
        <w:t>6.住房保障支出(类)住房改革支出(款)住房公积金(项):支出决算数为4.31万元，比上年决算增加0.61万元，增长16.49%,主要原因是：本年在职人员工资基数调增，公积金缴费基数上涨，相应支出增加。</w:t>
      </w:r>
    </w:p>
    <w:p w14:paraId="7DF3B874">
      <w:pPr>
        <w:spacing w:line="640" w:lineRule="exact"/>
        <w:ind w:firstLine="640"/>
        <w:jc w:val="both"/>
        <w:outlineLvl w:val="2"/>
      </w:pPr>
      <w:r>
        <w:rPr>
          <w:rFonts w:ascii="黑体" w:hAnsi="黑体" w:eastAsia="黑体"/>
          <w:sz w:val="32"/>
        </w:rPr>
        <w:t>六、一般公共预算财政拨款基本支出决算情况说明</w:t>
      </w:r>
    </w:p>
    <w:p w14:paraId="06173796">
      <w:pPr>
        <w:spacing w:line="580" w:lineRule="exact"/>
        <w:ind w:firstLine="640"/>
        <w:jc w:val="both"/>
      </w:pPr>
      <w:r>
        <w:rPr>
          <w:rFonts w:ascii="仿宋_GB2312" w:hAnsi="仿宋_GB2312" w:eastAsia="仿宋_GB2312"/>
          <w:b w:val="0"/>
          <w:sz w:val="32"/>
        </w:rPr>
        <w:t>2024年度一般公共预算财政拨款基本支出61.68万元，其中：</w:t>
      </w:r>
      <w:r>
        <w:rPr>
          <w:rFonts w:ascii="仿宋_GB2312" w:hAnsi="仿宋_GB2312" w:eastAsia="仿宋_GB2312"/>
          <w:b/>
          <w:sz w:val="32"/>
        </w:rPr>
        <w:t>人员经费61.68万元，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4AC7E50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741FB89">
      <w:pPr>
        <w:spacing w:line="640" w:lineRule="exact"/>
        <w:ind w:firstLine="640"/>
        <w:jc w:val="both"/>
        <w:outlineLvl w:val="2"/>
      </w:pPr>
      <w:r>
        <w:rPr>
          <w:rFonts w:ascii="黑体" w:hAnsi="黑体" w:eastAsia="黑体"/>
          <w:sz w:val="32"/>
        </w:rPr>
        <w:t>七、政府性基金预算财政拨款收入支出决算情况说明</w:t>
      </w:r>
    </w:p>
    <w:p w14:paraId="7F190DB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015CC7B">
      <w:pPr>
        <w:spacing w:line="640" w:lineRule="exact"/>
        <w:ind w:firstLine="640"/>
        <w:jc w:val="both"/>
        <w:outlineLvl w:val="2"/>
      </w:pPr>
      <w:r>
        <w:rPr>
          <w:rFonts w:ascii="黑体" w:hAnsi="黑体" w:eastAsia="黑体"/>
          <w:sz w:val="32"/>
        </w:rPr>
        <w:t>八、国有资本经营预算财政拨款收入支出决算情况说明</w:t>
      </w:r>
    </w:p>
    <w:p w14:paraId="3044D26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3BC748">
      <w:pPr>
        <w:spacing w:line="640" w:lineRule="exact"/>
        <w:ind w:firstLine="640"/>
        <w:jc w:val="both"/>
        <w:outlineLvl w:val="2"/>
      </w:pPr>
      <w:r>
        <w:rPr>
          <w:rFonts w:ascii="黑体" w:hAnsi="黑体" w:eastAsia="黑体"/>
          <w:sz w:val="32"/>
        </w:rPr>
        <w:t>九、财政拨款“三公”经费支出决算情况说明</w:t>
      </w:r>
    </w:p>
    <w:p w14:paraId="21DC5D85">
      <w:pPr>
        <w:spacing w:line="580" w:lineRule="exact"/>
        <w:ind w:firstLine="640"/>
        <w:jc w:val="both"/>
      </w:pPr>
      <w:r>
        <w:rPr>
          <w:rFonts w:ascii="仿宋_GB2312" w:hAnsi="仿宋_GB2312" w:eastAsia="仿宋_GB2312"/>
          <w:b/>
          <w:sz w:val="32"/>
        </w:rPr>
        <w:t>2024年度财政拨款“三公”经费支出4.75万元，</w:t>
      </w:r>
      <w:r>
        <w:rPr>
          <w:rFonts w:ascii="仿宋_GB2312" w:hAnsi="仿宋_GB2312" w:eastAsia="仿宋_GB2312"/>
          <w:b w:val="0"/>
          <w:sz w:val="32"/>
        </w:rPr>
        <w:t>比上年增加4.50万元，增长1,800.00%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4.75万元，占100.00%，比上年增加4.50万元，增长1,800.00%，主要原因是：本年因业务需求，用车次数增加，燃油费增加，导致公务用车运行维护费较上年增加。公务接待费支出0.00万元，占0.00%，比上年增加0.00万元，增长0.00%，主要原因是：2023年与2024年均未安排公务接待费支出。</w:t>
      </w:r>
    </w:p>
    <w:p w14:paraId="31F15B0B">
      <w:pPr>
        <w:spacing w:line="580" w:lineRule="exact"/>
        <w:ind w:firstLine="640"/>
        <w:jc w:val="both"/>
      </w:pPr>
      <w:r>
        <w:rPr>
          <w:rFonts w:ascii="仿宋_GB2312" w:hAnsi="仿宋_GB2312" w:eastAsia="仿宋_GB2312"/>
          <w:b/>
          <w:sz w:val="32"/>
        </w:rPr>
        <w:t>具体情况如下：</w:t>
      </w:r>
    </w:p>
    <w:p w14:paraId="5B28FDC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88484AA">
      <w:pPr>
        <w:spacing w:line="580" w:lineRule="exact"/>
        <w:ind w:firstLine="640"/>
        <w:jc w:val="both"/>
      </w:pPr>
      <w:r>
        <w:rPr>
          <w:rFonts w:ascii="仿宋_GB2312" w:hAnsi="仿宋_GB2312" w:eastAsia="仿宋_GB2312"/>
          <w:b w:val="0"/>
          <w:sz w:val="32"/>
        </w:rPr>
        <w:t>公务用车购置及运行维护费4.75万元，其中：公务用车购置费0.00万元，公务用车运行维护费4.75万元。公务用车运行维护费开支内容包括放映车辆加油费、维修费、保险费、审车费等。公务用车购置数0辆，公务用车保有量1辆。国有资产占用情况中固定资产车辆1辆，与公务用车保有量差异原因是：本单位固定资产车辆与公务用车保有量一致无差异。</w:t>
      </w:r>
    </w:p>
    <w:p w14:paraId="660C768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F70E4D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4.75万元，决算数4.75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4.75万元，决算数4.75万元，预决算差异率0.00%，主要原因是：严格按照预算执行，预决算无差异。公务接待费全年预算数0.00万元，决算数0.00万元，预决算差异率0.00%，主要原因是：本单位无公务接待费。</w:t>
      </w:r>
    </w:p>
    <w:p w14:paraId="01E15B54">
      <w:pPr>
        <w:spacing w:line="640" w:lineRule="exact"/>
        <w:ind w:firstLine="640"/>
        <w:jc w:val="both"/>
        <w:outlineLvl w:val="2"/>
      </w:pPr>
      <w:r>
        <w:rPr>
          <w:rFonts w:ascii="黑体" w:hAnsi="黑体" w:eastAsia="黑体"/>
          <w:sz w:val="32"/>
        </w:rPr>
        <w:t>十、其他重要事项的情况说明</w:t>
      </w:r>
    </w:p>
    <w:p w14:paraId="69B04FBA">
      <w:pPr>
        <w:spacing w:line="640" w:lineRule="exact"/>
        <w:ind w:firstLine="640"/>
        <w:jc w:val="both"/>
        <w:outlineLvl w:val="3"/>
      </w:pPr>
      <w:r>
        <w:rPr>
          <w:rFonts w:ascii="楷体_GB2312" w:hAnsi="楷体_GB2312" w:eastAsia="楷体_GB2312"/>
          <w:b/>
          <w:sz w:val="32"/>
        </w:rPr>
        <w:t>（一）机关运行经费及公用经费支出情况</w:t>
      </w:r>
    </w:p>
    <w:p w14:paraId="7BBBC30D">
      <w:pPr>
        <w:spacing w:line="580" w:lineRule="exact"/>
        <w:ind w:firstLine="640"/>
        <w:jc w:val="both"/>
      </w:pPr>
      <w:r>
        <w:rPr>
          <w:rFonts w:ascii="仿宋_GB2312" w:hAnsi="仿宋_GB2312" w:eastAsia="仿宋_GB2312"/>
          <w:b w:val="0"/>
          <w:sz w:val="32"/>
        </w:rPr>
        <w:t>2024年度托里县影剧院（事业单位）公用经费支出0.00万元，比上年减少0.14万元，下降100.00%，主要原因是：本年减少工会经费，导致公用经费减少。</w:t>
      </w:r>
    </w:p>
    <w:p w14:paraId="3E44BE8D">
      <w:pPr>
        <w:spacing w:line="640" w:lineRule="exact"/>
        <w:ind w:firstLine="640"/>
        <w:jc w:val="both"/>
        <w:outlineLvl w:val="3"/>
      </w:pPr>
      <w:r>
        <w:rPr>
          <w:rFonts w:ascii="楷体_GB2312" w:hAnsi="楷体_GB2312" w:eastAsia="楷体_GB2312"/>
          <w:b/>
          <w:sz w:val="32"/>
        </w:rPr>
        <w:t>（二）政府采购情况</w:t>
      </w:r>
    </w:p>
    <w:p w14:paraId="5E0FFBD0">
      <w:pPr>
        <w:spacing w:line="580" w:lineRule="exact"/>
        <w:ind w:firstLine="640"/>
        <w:jc w:val="both"/>
      </w:pPr>
      <w:r>
        <w:rPr>
          <w:rFonts w:ascii="仿宋_GB2312" w:hAnsi="仿宋_GB2312" w:eastAsia="仿宋_GB2312"/>
          <w:b w:val="0"/>
          <w:sz w:val="32"/>
        </w:rPr>
        <w:t>2024年度政府采购支出总额4.94万元，其中：政府采购货物支出0.81万元、政府采购工程支出0.00万元、政府采购服务支出4.13万元。</w:t>
      </w:r>
    </w:p>
    <w:p w14:paraId="7B50B0F7">
      <w:pPr>
        <w:spacing w:line="580" w:lineRule="exact"/>
        <w:ind w:firstLine="640"/>
        <w:jc w:val="both"/>
      </w:pPr>
      <w:r>
        <w:rPr>
          <w:rFonts w:ascii="仿宋_GB2312" w:hAnsi="仿宋_GB2312" w:eastAsia="仿宋_GB2312"/>
          <w:b w:val="0"/>
          <w:sz w:val="32"/>
        </w:rPr>
        <w:t>授予中小企业合同金额4.94万元，占政府采购支出总额的100.00%，其中：授予小微企业合同金额4.94万元，占政府采购支出总额的100.00%。</w:t>
      </w:r>
    </w:p>
    <w:p w14:paraId="7A82798D">
      <w:pPr>
        <w:spacing w:line="640" w:lineRule="exact"/>
        <w:ind w:firstLine="640"/>
        <w:jc w:val="both"/>
        <w:outlineLvl w:val="3"/>
      </w:pPr>
      <w:r>
        <w:rPr>
          <w:rFonts w:ascii="楷体_GB2312" w:hAnsi="楷体_GB2312" w:eastAsia="楷体_GB2312"/>
          <w:b/>
          <w:sz w:val="32"/>
        </w:rPr>
        <w:t>（三）国有资产占用情况说明</w:t>
      </w:r>
    </w:p>
    <w:p w14:paraId="2D5885C3">
      <w:pPr>
        <w:spacing w:line="580" w:lineRule="exact"/>
        <w:ind w:firstLine="640"/>
        <w:jc w:val="both"/>
      </w:pPr>
      <w:r>
        <w:rPr>
          <w:rFonts w:ascii="仿宋_GB2312" w:hAnsi="仿宋_GB2312" w:eastAsia="仿宋_GB2312"/>
          <w:b w:val="0"/>
          <w:sz w:val="32"/>
        </w:rPr>
        <w:t>截至2024年12月31日，房屋37.00平方米，价值12.95万元。车辆1辆，价值0.91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CC52E7C">
      <w:pPr>
        <w:spacing w:line="640" w:lineRule="exact"/>
        <w:ind w:firstLine="640"/>
        <w:jc w:val="both"/>
        <w:outlineLvl w:val="2"/>
      </w:pPr>
      <w:r>
        <w:rPr>
          <w:rFonts w:ascii="黑体" w:hAnsi="黑体" w:eastAsia="黑体"/>
          <w:sz w:val="32"/>
        </w:rPr>
        <w:t>十一、预算绩效的情况说明</w:t>
      </w:r>
    </w:p>
    <w:p w14:paraId="2467F6D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94.58万元，实际执行总额94.58万元；预算绩效评价项目2个，全年预算数31.24万元，全年执行数26.64万元。预算绩效管理取得的成效：构建了全方位、全过程、全覆盖的预算绩效管理体系，严格执行事前评估，绩效目标编制，运行监督，绩效评价等流程，通过多方协同与信息化手段，提高管理效率与质量。发现的问题及原因：预算绩效管理存在部分项目绩效目标设置不精准，评价结果应用不充分等问题，原因在于绩效理念渗透不够深入，相关配套机制尚不完善。下一步改进措施：预算绩效管理将强化绩效目标精准化设定，健全评价结果与预算安排挂钩机制，深化绩效理念培训。具体附整体支出绩效自评表，项目支出绩效自评表和评价报告。</w:t>
      </w:r>
    </w:p>
    <w:p w14:paraId="2402501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D712844">
        <w:tblPrEx>
          <w:tblCellMar>
            <w:top w:w="0" w:type="dxa"/>
            <w:left w:w="108" w:type="dxa"/>
            <w:bottom w:w="0" w:type="dxa"/>
            <w:right w:w="108" w:type="dxa"/>
          </w:tblCellMar>
        </w:tblPrEx>
        <w:tc>
          <w:tcPr>
            <w:tcW w:w="8840" w:type="dxa"/>
            <w:gridSpan w:val="8"/>
            <w:vAlign w:val="center"/>
          </w:tcPr>
          <w:p w14:paraId="25FCE4AE">
            <w:pPr>
              <w:jc w:val="center"/>
            </w:pPr>
            <w:r>
              <w:rPr>
                <w:rFonts w:ascii="宋体" w:hAnsi="宋体" w:eastAsia="宋体"/>
                <w:sz w:val="24"/>
              </w:rPr>
              <w:t>单位整体支出绩效自评表</w:t>
            </w:r>
          </w:p>
        </w:tc>
      </w:tr>
      <w:tr w14:paraId="531C70C9">
        <w:tblPrEx>
          <w:tblCellMar>
            <w:top w:w="0" w:type="dxa"/>
            <w:left w:w="108" w:type="dxa"/>
            <w:bottom w:w="0" w:type="dxa"/>
            <w:right w:w="108" w:type="dxa"/>
          </w:tblCellMar>
        </w:tblPrEx>
        <w:tc>
          <w:tcPr>
            <w:tcW w:w="8840" w:type="dxa"/>
            <w:gridSpan w:val="8"/>
            <w:vAlign w:val="center"/>
          </w:tcPr>
          <w:p w14:paraId="27F67179">
            <w:pPr>
              <w:jc w:val="center"/>
            </w:pPr>
            <w:r>
              <w:rPr>
                <w:rFonts w:ascii="宋体" w:hAnsi="宋体" w:eastAsia="宋体"/>
                <w:sz w:val="24"/>
              </w:rPr>
              <w:t>（2024年度）</w:t>
            </w:r>
          </w:p>
        </w:tc>
      </w:tr>
      <w:tr w14:paraId="30D149D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58FA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18D020">
            <w:pPr>
              <w:jc w:val="center"/>
            </w:pPr>
            <w:r>
              <w:rPr>
                <w:rFonts w:ascii="宋体" w:hAnsi="宋体" w:eastAsia="宋体"/>
                <w:sz w:val="16"/>
              </w:rPr>
              <w:t>托里县影剧院</w:t>
            </w:r>
          </w:p>
        </w:tc>
      </w:tr>
      <w:tr w14:paraId="339C693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502D0">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182C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198F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B31BB">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5CBB7">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ED52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B531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D63DE">
            <w:pPr>
              <w:jc w:val="center"/>
            </w:pPr>
            <w:r>
              <w:rPr>
                <w:rFonts w:ascii="宋体" w:hAnsi="宋体" w:eastAsia="宋体"/>
                <w:sz w:val="16"/>
              </w:rPr>
              <w:t>得分</w:t>
            </w:r>
          </w:p>
        </w:tc>
      </w:tr>
      <w:tr w14:paraId="4C4248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076E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E9C8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57436">
            <w:pPr>
              <w:jc w:val="center"/>
            </w:pPr>
            <w:r>
              <w:rPr>
                <w:rFonts w:ascii="宋体" w:hAnsi="宋体" w:eastAsia="宋体"/>
                <w:sz w:val="16"/>
              </w:rPr>
              <w:t>80.06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8DA5C">
            <w:pPr>
              <w:jc w:val="center"/>
            </w:pPr>
            <w:r>
              <w:rPr>
                <w:rFonts w:ascii="宋体" w:hAnsi="宋体" w:eastAsia="宋体"/>
                <w:sz w:val="16"/>
              </w:rPr>
              <w:t>94.58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C49F3">
            <w:pPr>
              <w:jc w:val="center"/>
            </w:pPr>
            <w:r>
              <w:rPr>
                <w:rFonts w:ascii="宋体" w:hAnsi="宋体" w:eastAsia="宋体"/>
                <w:sz w:val="16"/>
              </w:rPr>
              <w:t>94.58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111E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4979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41891">
            <w:pPr>
              <w:jc w:val="center"/>
            </w:pPr>
            <w:r>
              <w:rPr>
                <w:rFonts w:ascii="宋体" w:hAnsi="宋体" w:eastAsia="宋体"/>
                <w:sz w:val="16"/>
              </w:rPr>
              <w:t>10</w:t>
            </w:r>
          </w:p>
        </w:tc>
      </w:tr>
      <w:tr w14:paraId="18384E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4B0B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28ED6">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6A069">
            <w:pPr>
              <w:jc w:val="center"/>
            </w:pPr>
            <w:r>
              <w:rPr>
                <w:rFonts w:ascii="宋体" w:hAnsi="宋体" w:eastAsia="宋体"/>
                <w:sz w:val="16"/>
              </w:rPr>
              <w:t>23.70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B9BFF">
            <w:pPr>
              <w:jc w:val="center"/>
            </w:pPr>
            <w:r>
              <w:rPr>
                <w:rFonts w:ascii="宋体" w:hAnsi="宋体" w:eastAsia="宋体"/>
                <w:sz w:val="16"/>
              </w:rPr>
              <w:t>25.40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6A5A5">
            <w:pPr>
              <w:jc w:val="center"/>
            </w:pPr>
            <w:r>
              <w:rPr>
                <w:rFonts w:ascii="宋体" w:hAnsi="宋体" w:eastAsia="宋体"/>
                <w:sz w:val="16"/>
              </w:rPr>
              <w:t>25.40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D32C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E12D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699E0">
            <w:pPr>
              <w:jc w:val="center"/>
            </w:pPr>
            <w:r>
              <w:rPr>
                <w:rFonts w:ascii="宋体" w:hAnsi="宋体" w:eastAsia="宋体"/>
                <w:sz w:val="16"/>
              </w:rPr>
              <w:t>-</w:t>
            </w:r>
          </w:p>
        </w:tc>
      </w:tr>
      <w:tr w14:paraId="5D7860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58B71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646610">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81FBD">
            <w:pPr>
              <w:jc w:val="center"/>
            </w:pPr>
            <w:r>
              <w:rPr>
                <w:rFonts w:ascii="宋体" w:hAnsi="宋体" w:eastAsia="宋体"/>
                <w:sz w:val="16"/>
              </w:rPr>
              <w:t>54.44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22618">
            <w:pPr>
              <w:jc w:val="center"/>
            </w:pPr>
            <w:r>
              <w:rPr>
                <w:rFonts w:ascii="宋体" w:hAnsi="宋体" w:eastAsia="宋体"/>
                <w:sz w:val="16"/>
              </w:rPr>
              <w:t>67.94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22197">
            <w:pPr>
              <w:jc w:val="center"/>
            </w:pPr>
            <w:r>
              <w:rPr>
                <w:rFonts w:ascii="宋体" w:hAnsi="宋体" w:eastAsia="宋体"/>
                <w:sz w:val="16"/>
              </w:rPr>
              <w:t>67.94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A565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199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36AE1">
            <w:pPr>
              <w:jc w:val="center"/>
            </w:pPr>
            <w:r>
              <w:rPr>
                <w:rFonts w:ascii="宋体" w:hAnsi="宋体" w:eastAsia="宋体"/>
                <w:sz w:val="16"/>
              </w:rPr>
              <w:t>-</w:t>
            </w:r>
          </w:p>
        </w:tc>
      </w:tr>
      <w:tr w14:paraId="3681F3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17B7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CB56E">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3538D">
            <w:pPr>
              <w:jc w:val="center"/>
            </w:pPr>
            <w:r>
              <w:rPr>
                <w:rFonts w:ascii="宋体" w:hAnsi="宋体" w:eastAsia="宋体"/>
                <w:sz w:val="16"/>
              </w:rPr>
              <w:t>1.92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7AEA6">
            <w:pPr>
              <w:jc w:val="center"/>
            </w:pPr>
            <w:r>
              <w:rPr>
                <w:rFonts w:ascii="宋体" w:hAnsi="宋体" w:eastAsia="宋体"/>
                <w:sz w:val="16"/>
              </w:rPr>
              <w:t>1.24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41DA8C">
            <w:pPr>
              <w:jc w:val="center"/>
            </w:pPr>
            <w:r>
              <w:rPr>
                <w:rFonts w:ascii="宋体" w:hAnsi="宋体" w:eastAsia="宋体"/>
                <w:sz w:val="16"/>
              </w:rPr>
              <w:t>1.24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06F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A411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8708C">
            <w:pPr>
              <w:jc w:val="center"/>
            </w:pPr>
            <w:r>
              <w:rPr>
                <w:rFonts w:ascii="宋体" w:hAnsi="宋体" w:eastAsia="宋体"/>
                <w:sz w:val="16"/>
              </w:rPr>
              <w:t>-</w:t>
            </w:r>
          </w:p>
        </w:tc>
      </w:tr>
      <w:tr w14:paraId="688EF26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6905E">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B026D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721C08">
            <w:pPr>
              <w:jc w:val="center"/>
            </w:pPr>
            <w:r>
              <w:rPr>
                <w:rFonts w:ascii="宋体" w:hAnsi="宋体" w:eastAsia="宋体"/>
                <w:sz w:val="16"/>
              </w:rPr>
              <w:t>实际完成情况</w:t>
            </w:r>
          </w:p>
        </w:tc>
      </w:tr>
      <w:tr w14:paraId="35D29E0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073AC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FE49A0">
            <w:pPr>
              <w:jc w:val="both"/>
            </w:pPr>
            <w:r>
              <w:rPr>
                <w:rFonts w:hint="eastAsia" w:ascii="宋体" w:hAnsi="宋体"/>
                <w:sz w:val="16"/>
                <w:lang w:eastAsia="zh-CN"/>
              </w:rPr>
              <w:t>坚持以习近平新时代中国特色社会主义思想为指导</w:t>
            </w:r>
            <w:r>
              <w:rPr>
                <w:rFonts w:ascii="宋体" w:hAnsi="宋体" w:eastAsia="宋体"/>
                <w:sz w:val="16"/>
              </w:rPr>
              <w:t>，推动我县农村电影放映事业，2024年度完成66个行政村农村电影放映任务792场，一村一年放映不少于12场。开展“优秀电影进校园”活动，计划在乡镇16所学校开展64场放映任务。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01C25B">
            <w:pPr>
              <w:jc w:val="both"/>
            </w:pPr>
            <w:r>
              <w:rPr>
                <w:rFonts w:ascii="宋体" w:hAnsi="宋体" w:eastAsia="宋体"/>
                <w:sz w:val="16"/>
              </w:rPr>
              <w:t>66个行政村</w:t>
            </w:r>
            <w:bookmarkStart w:id="0" w:name="_GoBack"/>
            <w:r>
              <w:rPr>
                <w:rFonts w:hint="eastAsia" w:ascii="宋体" w:hAnsi="宋体"/>
                <w:sz w:val="16"/>
                <w:lang w:eastAsia="zh-CN"/>
              </w:rPr>
              <w:t>，在</w:t>
            </w:r>
            <w:bookmarkEnd w:id="0"/>
            <w:r>
              <w:rPr>
                <w:rFonts w:ascii="宋体" w:hAnsi="宋体" w:eastAsia="宋体"/>
                <w:sz w:val="16"/>
              </w:rPr>
              <w:t>一村一年放映不少于12场的要求下完成了792场电影放映工作，为我县电影事业打下坚实而良好的基础，使我县电影工作稳步有序</w:t>
            </w:r>
            <w:r>
              <w:rPr>
                <w:rFonts w:hint="eastAsia" w:ascii="宋体" w:hAnsi="宋体"/>
                <w:sz w:val="16"/>
                <w:lang w:eastAsia="zh-CN"/>
              </w:rPr>
              <w:t>地</w:t>
            </w:r>
            <w:r>
              <w:rPr>
                <w:rFonts w:ascii="宋体" w:hAnsi="宋体" w:eastAsia="宋体"/>
                <w:sz w:val="16"/>
              </w:rPr>
              <w:t>健康发展；完成了16</w:t>
            </w:r>
            <w:r>
              <w:rPr>
                <w:rFonts w:hint="eastAsia" w:ascii="宋体" w:hAnsi="宋体"/>
                <w:sz w:val="16"/>
                <w:lang w:eastAsia="zh-CN"/>
              </w:rPr>
              <w:t>所</w:t>
            </w:r>
            <w:r>
              <w:rPr>
                <w:rFonts w:ascii="宋体" w:hAnsi="宋体" w:eastAsia="宋体"/>
                <w:sz w:val="16"/>
              </w:rPr>
              <w:t>学校64场放映工作。电影放映工作使全县所有的校园里的学生都看上丰富多彩、效果清晰的数字电影。</w:t>
            </w:r>
          </w:p>
        </w:tc>
      </w:tr>
      <w:tr w14:paraId="0B39FC9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6C68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BAA1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3A9D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6A93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FB364">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1561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E303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30BD3">
            <w:pPr>
              <w:jc w:val="center"/>
            </w:pPr>
            <w:r>
              <w:rPr>
                <w:rFonts w:ascii="宋体" w:hAnsi="宋体" w:eastAsia="宋体"/>
                <w:sz w:val="16"/>
              </w:rPr>
              <w:t>得分</w:t>
            </w:r>
          </w:p>
        </w:tc>
      </w:tr>
      <w:tr w14:paraId="4B42116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F810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68585">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909D5">
            <w:pPr>
              <w:jc w:val="center"/>
            </w:pPr>
            <w:r>
              <w:rPr>
                <w:rFonts w:ascii="宋体" w:hAnsi="宋体" w:eastAsia="宋体"/>
                <w:sz w:val="16"/>
              </w:rPr>
              <w:t>全年实际完成放映场次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BCE83">
            <w:pPr>
              <w:jc w:val="center"/>
            </w:pPr>
            <w:r>
              <w:rPr>
                <w:rFonts w:ascii="宋体" w:hAnsi="宋体" w:eastAsia="宋体"/>
                <w:sz w:val="16"/>
              </w:rPr>
              <w:t>&gt;=792场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EFCC5">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1CA27">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86D24">
            <w:pPr>
              <w:jc w:val="center"/>
            </w:pPr>
            <w:r>
              <w:rPr>
                <w:rFonts w:ascii="宋体" w:hAnsi="宋体" w:eastAsia="宋体"/>
                <w:sz w:val="16"/>
              </w:rPr>
              <w:t>792场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65CE3">
            <w:pPr>
              <w:jc w:val="center"/>
            </w:pPr>
            <w:r>
              <w:rPr>
                <w:rFonts w:ascii="宋体" w:hAnsi="宋体" w:eastAsia="宋体"/>
                <w:sz w:val="16"/>
              </w:rPr>
              <w:t>20</w:t>
            </w:r>
          </w:p>
        </w:tc>
      </w:tr>
      <w:tr w14:paraId="00B049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1ADBE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CC25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7BAFF">
            <w:pPr>
              <w:jc w:val="center"/>
            </w:pPr>
            <w:r>
              <w:rPr>
                <w:rFonts w:ascii="宋体" w:hAnsi="宋体" w:eastAsia="宋体"/>
                <w:sz w:val="16"/>
              </w:rPr>
              <w:t>“电影进校”活动涉及学校数量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D7CC8">
            <w:pPr>
              <w:jc w:val="center"/>
            </w:pPr>
            <w:r>
              <w:rPr>
                <w:rFonts w:ascii="宋体" w:hAnsi="宋体" w:eastAsia="宋体"/>
                <w:sz w:val="16"/>
              </w:rPr>
              <w:t>&gt;=16个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99C1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49D8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DB8CF">
            <w:pPr>
              <w:jc w:val="center"/>
            </w:pPr>
            <w:r>
              <w:rPr>
                <w:rFonts w:ascii="宋体" w:hAnsi="宋体" w:eastAsia="宋体"/>
                <w:sz w:val="16"/>
              </w:rPr>
              <w:t>16个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41B0D">
            <w:pPr>
              <w:jc w:val="center"/>
            </w:pPr>
            <w:r>
              <w:rPr>
                <w:rFonts w:ascii="宋体" w:hAnsi="宋体" w:eastAsia="宋体"/>
                <w:sz w:val="16"/>
              </w:rPr>
              <w:t>10</w:t>
            </w:r>
          </w:p>
        </w:tc>
      </w:tr>
      <w:tr w14:paraId="1E5A50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3E525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E1F68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5E849A">
            <w:pPr>
              <w:jc w:val="center"/>
            </w:pPr>
            <w:r>
              <w:rPr>
                <w:rFonts w:ascii="宋体" w:hAnsi="宋体" w:eastAsia="宋体"/>
                <w:sz w:val="16"/>
              </w:rPr>
              <w:t>涉及行政村（社区）数量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2E1D2">
            <w:pPr>
              <w:jc w:val="center"/>
            </w:pPr>
            <w:r>
              <w:rPr>
                <w:rFonts w:ascii="宋体" w:hAnsi="宋体" w:eastAsia="宋体"/>
                <w:sz w:val="16"/>
              </w:rPr>
              <w:t>&gt;=66个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0332C">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91A96">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155F2">
            <w:pPr>
              <w:jc w:val="center"/>
            </w:pPr>
            <w:r>
              <w:rPr>
                <w:rFonts w:ascii="宋体" w:hAnsi="宋体" w:eastAsia="宋体"/>
                <w:sz w:val="16"/>
              </w:rPr>
              <w:t>66个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1B0FE6">
            <w:pPr>
              <w:jc w:val="center"/>
            </w:pPr>
            <w:r>
              <w:rPr>
                <w:rFonts w:ascii="宋体" w:hAnsi="宋体" w:eastAsia="宋体"/>
                <w:sz w:val="16"/>
              </w:rPr>
              <w:t>30</w:t>
            </w:r>
          </w:p>
        </w:tc>
      </w:tr>
      <w:tr w14:paraId="1EEB79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722D9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AA396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BA247">
            <w:pPr>
              <w:jc w:val="center"/>
            </w:pPr>
            <w:r>
              <w:rPr>
                <w:rFonts w:ascii="宋体" w:hAnsi="宋体" w:eastAsia="宋体"/>
                <w:sz w:val="16"/>
              </w:rPr>
              <w:t>“电影进校”场次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E1CC9">
            <w:pPr>
              <w:jc w:val="center"/>
            </w:pPr>
            <w:r>
              <w:rPr>
                <w:rFonts w:ascii="宋体" w:hAnsi="宋体" w:eastAsia="宋体"/>
                <w:sz w:val="16"/>
              </w:rPr>
              <w:t>&gt;=64场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9F57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45D00">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1EE6E">
            <w:pPr>
              <w:jc w:val="center"/>
            </w:pPr>
            <w:r>
              <w:rPr>
                <w:rFonts w:ascii="宋体" w:hAnsi="宋体" w:eastAsia="宋体"/>
                <w:sz w:val="16"/>
              </w:rPr>
              <w:t>64场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6F5B1">
            <w:pPr>
              <w:jc w:val="center"/>
            </w:pPr>
            <w:r>
              <w:rPr>
                <w:rFonts w:ascii="宋体" w:hAnsi="宋体" w:eastAsia="宋体"/>
                <w:sz w:val="16"/>
              </w:rPr>
              <w:t>20</w:t>
            </w:r>
          </w:p>
        </w:tc>
      </w:tr>
      <w:tr w14:paraId="3A438C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687E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1DE2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F40097">
            <w:pPr>
              <w:jc w:val="center"/>
            </w:pPr>
            <w:r>
              <w:rPr>
                <w:rFonts w:ascii="宋体" w:hAnsi="宋体" w:eastAsia="宋体"/>
                <w:sz w:val="16"/>
              </w:rPr>
              <w:t>农村电影放映覆盖率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D10D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854B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2D51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501D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63139">
            <w:pPr>
              <w:jc w:val="center"/>
            </w:pPr>
            <w:r>
              <w:rPr>
                <w:rFonts w:ascii="宋体" w:hAnsi="宋体" w:eastAsia="宋体"/>
                <w:sz w:val="16"/>
              </w:rPr>
              <w:t>10</w:t>
            </w:r>
          </w:p>
        </w:tc>
      </w:tr>
    </w:tbl>
    <w:p w14:paraId="7EDCE96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96"/>
        <w:gridCol w:w="632"/>
        <w:gridCol w:w="632"/>
      </w:tblGrid>
      <w:tr w14:paraId="0D5A2E05">
        <w:tblPrEx>
          <w:tblCellMar>
            <w:top w:w="0" w:type="dxa"/>
            <w:left w:w="108" w:type="dxa"/>
            <w:bottom w:w="0" w:type="dxa"/>
            <w:right w:w="108" w:type="dxa"/>
          </w:tblCellMar>
        </w:tblPrEx>
        <w:tc>
          <w:tcPr>
            <w:tcW w:w="8848" w:type="dxa"/>
            <w:gridSpan w:val="14"/>
            <w:vAlign w:val="center"/>
          </w:tcPr>
          <w:p w14:paraId="41FC3F83">
            <w:pPr>
              <w:jc w:val="center"/>
            </w:pPr>
            <w:r>
              <w:rPr>
                <w:rFonts w:ascii="宋体" w:hAnsi="宋体" w:eastAsia="宋体"/>
                <w:sz w:val="24"/>
              </w:rPr>
              <w:t>项目支出绩效自评表</w:t>
            </w:r>
          </w:p>
        </w:tc>
      </w:tr>
      <w:tr w14:paraId="01DC99C1">
        <w:tblPrEx>
          <w:tblCellMar>
            <w:top w:w="0" w:type="dxa"/>
            <w:left w:w="108" w:type="dxa"/>
            <w:bottom w:w="0" w:type="dxa"/>
            <w:right w:w="108" w:type="dxa"/>
          </w:tblCellMar>
        </w:tblPrEx>
        <w:tc>
          <w:tcPr>
            <w:tcW w:w="8848" w:type="dxa"/>
            <w:gridSpan w:val="14"/>
            <w:vAlign w:val="center"/>
          </w:tcPr>
          <w:p w14:paraId="21FF6BFC">
            <w:pPr>
              <w:jc w:val="center"/>
            </w:pPr>
            <w:r>
              <w:rPr>
                <w:rFonts w:ascii="宋体" w:hAnsi="宋体" w:eastAsia="宋体"/>
                <w:sz w:val="24"/>
              </w:rPr>
              <w:t>(2024年度)</w:t>
            </w:r>
          </w:p>
        </w:tc>
      </w:tr>
      <w:tr w14:paraId="184468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8C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0240BA">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电影进校园放映费项目</w:t>
            </w:r>
          </w:p>
        </w:tc>
      </w:tr>
      <w:tr w14:paraId="474653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9C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E5E71D">
            <w:pPr>
              <w:jc w:val="center"/>
            </w:pPr>
            <w:r>
              <w:rPr>
                <w:rFonts w:ascii="宋体" w:hAnsi="宋体" w:eastAsia="宋体"/>
                <w:sz w:val="16"/>
              </w:rPr>
              <w:t>托里县影剧院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CA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DBC651">
            <w:pPr>
              <w:jc w:val="center"/>
            </w:pPr>
            <w:r>
              <w:rPr>
                <w:rFonts w:ascii="宋体" w:hAnsi="宋体" w:eastAsia="宋体"/>
                <w:sz w:val="16"/>
              </w:rPr>
              <w:t>托里县影剧院</w:t>
            </w:r>
          </w:p>
        </w:tc>
      </w:tr>
      <w:tr w14:paraId="040CA9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FD2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BAD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5405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A9F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F3F1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365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D6E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B85F">
            <w:pPr>
              <w:jc w:val="center"/>
            </w:pPr>
            <w:r>
              <w:rPr>
                <w:rFonts w:ascii="宋体" w:hAnsi="宋体" w:eastAsia="宋体"/>
                <w:sz w:val="16"/>
              </w:rPr>
              <w:t>得分</w:t>
            </w:r>
          </w:p>
        </w:tc>
      </w:tr>
      <w:tr w14:paraId="3F4602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EF5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136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0865D">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D89F3">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8C178">
            <w:pPr>
              <w:jc w:val="center"/>
            </w:pPr>
            <w:r>
              <w:rPr>
                <w:rFonts w:ascii="宋体" w:hAnsi="宋体" w:eastAsia="宋体"/>
                <w:sz w:val="16"/>
              </w:rPr>
              <w:t>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681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33DD1">
            <w:pPr>
              <w:jc w:val="center"/>
            </w:pPr>
            <w:r>
              <w:rPr>
                <w:rFonts w:ascii="宋体" w:hAnsi="宋体" w:eastAsia="宋体"/>
                <w:sz w:val="16"/>
              </w:rPr>
              <w:t>64.58%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1109">
            <w:pPr>
              <w:jc w:val="center"/>
            </w:pPr>
            <w:r>
              <w:rPr>
                <w:rFonts w:ascii="宋体" w:hAnsi="宋体" w:eastAsia="宋体"/>
                <w:sz w:val="16"/>
              </w:rPr>
              <w:t>6.46</w:t>
            </w:r>
          </w:p>
        </w:tc>
      </w:tr>
      <w:tr w14:paraId="7F43C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324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B0D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00E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7D0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69D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863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982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96D2">
            <w:pPr>
              <w:jc w:val="center"/>
            </w:pPr>
            <w:r>
              <w:rPr>
                <w:rFonts w:ascii="宋体" w:hAnsi="宋体" w:eastAsia="宋体"/>
                <w:sz w:val="16"/>
              </w:rPr>
              <w:t>—</w:t>
            </w:r>
          </w:p>
        </w:tc>
      </w:tr>
      <w:tr w14:paraId="2FAEB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C0D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C417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DA0C5">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DFD02">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C9A1F">
            <w:pPr>
              <w:jc w:val="center"/>
            </w:pPr>
            <w:r>
              <w:rPr>
                <w:rFonts w:ascii="宋体" w:hAnsi="宋体" w:eastAsia="宋体"/>
                <w:sz w:val="16"/>
              </w:rPr>
              <w:t>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535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86D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E883">
            <w:pPr>
              <w:jc w:val="center"/>
            </w:pPr>
            <w:r>
              <w:rPr>
                <w:rFonts w:ascii="宋体" w:hAnsi="宋体" w:eastAsia="宋体"/>
                <w:sz w:val="16"/>
              </w:rPr>
              <w:t>—</w:t>
            </w:r>
          </w:p>
        </w:tc>
      </w:tr>
      <w:tr w14:paraId="0CD7C5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FABB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853F5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B5307D">
            <w:pPr>
              <w:jc w:val="center"/>
            </w:pPr>
            <w:r>
              <w:rPr>
                <w:rFonts w:ascii="宋体" w:hAnsi="宋体" w:eastAsia="宋体"/>
                <w:sz w:val="16"/>
              </w:rPr>
              <w:t>实际完成情况</w:t>
            </w:r>
          </w:p>
        </w:tc>
      </w:tr>
      <w:tr w14:paraId="43D464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6A7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0E6417">
            <w:pPr>
              <w:jc w:val="both"/>
            </w:pPr>
            <w:r>
              <w:rPr>
                <w:rFonts w:ascii="宋体" w:hAnsi="宋体" w:eastAsia="宋体"/>
                <w:sz w:val="16"/>
              </w:rPr>
              <w:t>电影进学校活动项目，项目资金1.92万元，用于支付64场电影进16所学校活动费，从而电影放映工作使全县所有的校园里的学生都看上丰富多彩、效果清晰的数字电影，提高文化服务水平，计划2024年完成64场电影进校，学校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25D388">
            <w:pPr>
              <w:jc w:val="both"/>
            </w:pPr>
            <w:r>
              <w:rPr>
                <w:rFonts w:ascii="宋体" w:hAnsi="宋体" w:eastAsia="宋体"/>
                <w:sz w:val="16"/>
              </w:rPr>
              <w:t>完成64场电影进校任务，从而达到电影放映工作使全县所有的校园里的学生都看上丰富多彩、效果清晰的数字电影的目标，提高文化服务水平。</w:t>
            </w:r>
          </w:p>
        </w:tc>
      </w:tr>
      <w:tr w14:paraId="6EF342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A360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6D0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0D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9E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A3A6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DA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313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761E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ACE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F36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F70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4E1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699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62E3">
            <w:pPr>
              <w:jc w:val="center"/>
            </w:pPr>
            <w:r>
              <w:rPr>
                <w:rFonts w:ascii="宋体" w:hAnsi="宋体" w:eastAsia="宋体"/>
                <w:sz w:val="16"/>
              </w:rPr>
              <w:t>偏差原因分析及改进措施</w:t>
            </w:r>
          </w:p>
        </w:tc>
      </w:tr>
      <w:tr w14:paraId="30152B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E80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341E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05CA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6E8F">
            <w:pPr>
              <w:jc w:val="center"/>
            </w:pPr>
            <w:r>
              <w:rPr>
                <w:rFonts w:ascii="宋体" w:hAnsi="宋体" w:eastAsia="宋体"/>
                <w:sz w:val="16"/>
              </w:rPr>
              <w:t>电影进校场次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3496">
            <w:pPr>
              <w:jc w:val="center"/>
            </w:pPr>
            <w:r>
              <w:rPr>
                <w:rFonts w:ascii="宋体" w:hAnsi="宋体" w:eastAsia="宋体"/>
                <w:sz w:val="16"/>
              </w:rPr>
              <w:t>&gt;=64场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6A8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725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81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75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16A0">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F698">
            <w:pPr>
              <w:jc w:val="center"/>
            </w:pPr>
            <w:r>
              <w:rPr>
                <w:rFonts w:ascii="宋体" w:hAnsi="宋体" w:eastAsia="宋体"/>
                <w:sz w:val="16"/>
              </w:rPr>
              <w:t>=64场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02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FD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8012">
            <w:pPr>
              <w:jc w:val="center"/>
            </w:pPr>
          </w:p>
        </w:tc>
      </w:tr>
      <w:tr w14:paraId="50982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2B8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E90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B37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5071">
            <w:pPr>
              <w:jc w:val="center"/>
            </w:pPr>
            <w:r>
              <w:rPr>
                <w:rFonts w:ascii="宋体" w:hAnsi="宋体" w:eastAsia="宋体"/>
                <w:sz w:val="16"/>
              </w:rPr>
              <w:t>普及学校个数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BE78">
            <w:pPr>
              <w:jc w:val="center"/>
            </w:pPr>
            <w:r>
              <w:rPr>
                <w:rFonts w:ascii="宋体" w:hAnsi="宋体" w:eastAsia="宋体"/>
                <w:sz w:val="16"/>
              </w:rPr>
              <w:t>&gt;=16个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5A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966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28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34E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7719">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FAA0">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62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A5B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DB348">
            <w:pPr>
              <w:jc w:val="center"/>
            </w:pPr>
          </w:p>
        </w:tc>
      </w:tr>
      <w:tr w14:paraId="4A694A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1CA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F89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3F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BD31">
            <w:pPr>
              <w:jc w:val="center"/>
            </w:pPr>
            <w:r>
              <w:rPr>
                <w:rFonts w:ascii="宋体" w:hAnsi="宋体" w:eastAsia="宋体"/>
                <w:sz w:val="16"/>
              </w:rPr>
              <w:t>电影进校覆盖率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1E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75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F526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F3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7B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CD7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28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B6A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CC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69C44">
            <w:pPr>
              <w:jc w:val="center"/>
            </w:pPr>
          </w:p>
        </w:tc>
      </w:tr>
      <w:tr w14:paraId="6A640C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B08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426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19D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31C8E">
            <w:pPr>
              <w:jc w:val="center"/>
            </w:pPr>
            <w:r>
              <w:rPr>
                <w:rFonts w:ascii="宋体" w:hAnsi="宋体" w:eastAsia="宋体"/>
                <w:sz w:val="16"/>
              </w:rPr>
              <w:t>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5E2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9A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A5CC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71A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89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4A63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D7FB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A0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61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E1727">
            <w:pPr>
              <w:jc w:val="center"/>
            </w:pPr>
          </w:p>
        </w:tc>
      </w:tr>
      <w:tr w14:paraId="0004BB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4B6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1C2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CF0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5E22">
            <w:pPr>
              <w:jc w:val="center"/>
            </w:pPr>
            <w:r>
              <w:rPr>
                <w:rFonts w:ascii="宋体" w:hAnsi="宋体" w:eastAsia="宋体"/>
                <w:sz w:val="16"/>
              </w:rPr>
              <w:t>每场标准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3E3C">
            <w:pPr>
              <w:jc w:val="center"/>
            </w:pPr>
            <w:r>
              <w:rPr>
                <w:rFonts w:ascii="宋体" w:hAnsi="宋体" w:eastAsia="宋体"/>
                <w:sz w:val="16"/>
              </w:rPr>
              <w:t>&lt;=300元/场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CF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BECC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7E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106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87FB0">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3339">
            <w:pPr>
              <w:jc w:val="center"/>
            </w:pPr>
            <w:r>
              <w:rPr>
                <w:rFonts w:ascii="宋体" w:hAnsi="宋体" w:eastAsia="宋体"/>
                <w:sz w:val="16"/>
              </w:rPr>
              <w:t>=193.75元/场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DA89">
            <w:pPr>
              <w:jc w:val="center"/>
            </w:pPr>
            <w:r>
              <w:rPr>
                <w:rFonts w:ascii="宋体" w:hAnsi="宋体" w:eastAsia="宋体"/>
                <w:sz w:val="16"/>
              </w:rPr>
              <w:t>64.58%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ABC0F">
            <w:pPr>
              <w:jc w:val="center"/>
            </w:pPr>
            <w:r>
              <w:rPr>
                <w:rFonts w:ascii="宋体" w:hAnsi="宋体" w:eastAsia="宋体"/>
                <w:sz w:val="16"/>
              </w:rPr>
              <w:t>12.92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C46C">
            <w:pPr>
              <w:jc w:val="center"/>
            </w:pPr>
            <w:r>
              <w:rPr>
                <w:rFonts w:ascii="宋体" w:hAnsi="宋体" w:eastAsia="宋体"/>
                <w:sz w:val="16"/>
              </w:rPr>
              <w:t>偏差原因：年初设定目标不精准，已结合项目实际情况完成该指标，改进措施：树立绩效理念，结合实际设定目标。</w:t>
            </w:r>
          </w:p>
        </w:tc>
      </w:tr>
      <w:tr w14:paraId="32A2C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D53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A5A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D81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C1A90">
            <w:pPr>
              <w:jc w:val="center"/>
            </w:pPr>
            <w:r>
              <w:rPr>
                <w:rFonts w:ascii="宋体" w:hAnsi="宋体" w:eastAsia="宋体"/>
                <w:sz w:val="16"/>
              </w:rPr>
              <w:t>提高文化服务水平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4DD0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180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2562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04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C9D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FC2C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924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60C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61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0202B">
            <w:pPr>
              <w:jc w:val="center"/>
            </w:pPr>
          </w:p>
        </w:tc>
      </w:tr>
      <w:tr w14:paraId="49D84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2F5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38A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B5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63E83">
            <w:pPr>
              <w:jc w:val="center"/>
            </w:pPr>
            <w:r>
              <w:rPr>
                <w:rFonts w:ascii="宋体" w:hAnsi="宋体" w:eastAsia="宋体"/>
                <w:sz w:val="16"/>
              </w:rPr>
              <w:t>学校满意度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5C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63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3F4A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DC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78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36E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53B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A86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C92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B6BF">
            <w:pPr>
              <w:jc w:val="center"/>
            </w:pPr>
          </w:p>
        </w:tc>
      </w:tr>
      <w:tr w14:paraId="1F74BBA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32F1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61FE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3D92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396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578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7C3E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1C3D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B12C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61E2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079B">
            <w:pPr>
              <w:jc w:val="center"/>
            </w:pPr>
            <w:r>
              <w:rPr>
                <w:rFonts w:ascii="宋体" w:hAnsi="宋体" w:eastAsia="宋体"/>
                <w:sz w:val="16"/>
              </w:rPr>
              <w:t>89.38分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226CD1"/>
        </w:tc>
      </w:tr>
    </w:tbl>
    <w:p w14:paraId="323DDB37">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2"/>
        <w:gridCol w:w="696"/>
        <w:gridCol w:w="776"/>
        <w:gridCol w:w="622"/>
        <w:gridCol w:w="631"/>
        <w:gridCol w:w="625"/>
        <w:gridCol w:w="622"/>
        <w:gridCol w:w="626"/>
        <w:gridCol w:w="632"/>
        <w:gridCol w:w="629"/>
        <w:gridCol w:w="632"/>
        <w:gridCol w:w="697"/>
      </w:tblGrid>
      <w:tr w14:paraId="124C5B4D">
        <w:tblPrEx>
          <w:tblCellMar>
            <w:top w:w="0" w:type="dxa"/>
            <w:left w:w="108" w:type="dxa"/>
            <w:bottom w:w="0" w:type="dxa"/>
            <w:right w:w="108" w:type="dxa"/>
          </w:tblCellMar>
        </w:tblPrEx>
        <w:tc>
          <w:tcPr>
            <w:tcW w:w="8848" w:type="dxa"/>
            <w:gridSpan w:val="14"/>
            <w:vAlign w:val="center"/>
          </w:tcPr>
          <w:p w14:paraId="0613239E">
            <w:pPr>
              <w:jc w:val="center"/>
            </w:pPr>
            <w:r>
              <w:rPr>
                <w:rFonts w:ascii="宋体" w:hAnsi="宋体" w:eastAsia="宋体"/>
                <w:sz w:val="24"/>
              </w:rPr>
              <w:t>项目支出绩效自评表</w:t>
            </w:r>
          </w:p>
        </w:tc>
      </w:tr>
      <w:tr w14:paraId="10CC662D">
        <w:tblPrEx>
          <w:tblCellMar>
            <w:top w:w="0" w:type="dxa"/>
            <w:left w:w="108" w:type="dxa"/>
            <w:bottom w:w="0" w:type="dxa"/>
            <w:right w:w="108" w:type="dxa"/>
          </w:tblCellMar>
        </w:tblPrEx>
        <w:tc>
          <w:tcPr>
            <w:tcW w:w="8848" w:type="dxa"/>
            <w:gridSpan w:val="14"/>
            <w:vAlign w:val="center"/>
          </w:tcPr>
          <w:p w14:paraId="7E6D9896">
            <w:pPr>
              <w:jc w:val="center"/>
            </w:pPr>
            <w:r>
              <w:rPr>
                <w:rFonts w:ascii="宋体" w:hAnsi="宋体" w:eastAsia="宋体"/>
                <w:sz w:val="24"/>
              </w:rPr>
              <w:t>(2024年度)</w:t>
            </w:r>
          </w:p>
        </w:tc>
      </w:tr>
      <w:tr w14:paraId="010130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11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FD82F5">
            <w:pPr>
              <w:jc w:val="center"/>
            </w:pPr>
            <w:r>
              <w:rPr>
                <w:rFonts w:ascii="宋体" w:hAnsi="宋体" w:eastAsia="宋体"/>
                <w:sz w:val="16"/>
              </w:rPr>
              <w:t>2024年中央补助地方公共文化服务体系建设补助资金（农村电影放映）</w:t>
            </w:r>
          </w:p>
        </w:tc>
      </w:tr>
      <w:tr w14:paraId="77E778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CB0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DCAEC4">
            <w:pPr>
              <w:jc w:val="center"/>
            </w:pPr>
            <w:r>
              <w:rPr>
                <w:rFonts w:ascii="宋体" w:hAnsi="宋体" w:eastAsia="宋体"/>
                <w:sz w:val="16"/>
              </w:rPr>
              <w:t>托里县影剧院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10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D859E1">
            <w:pPr>
              <w:jc w:val="center"/>
            </w:pPr>
            <w:r>
              <w:rPr>
                <w:rFonts w:ascii="宋体" w:hAnsi="宋体" w:eastAsia="宋体"/>
                <w:sz w:val="16"/>
              </w:rPr>
              <w:t>托里县影剧院</w:t>
            </w:r>
          </w:p>
        </w:tc>
      </w:tr>
      <w:tr w14:paraId="280AF9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7F16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8E5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ABD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1DE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2FE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748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EFA0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53F3F">
            <w:pPr>
              <w:jc w:val="center"/>
            </w:pPr>
            <w:r>
              <w:rPr>
                <w:rFonts w:ascii="宋体" w:hAnsi="宋体" w:eastAsia="宋体"/>
                <w:sz w:val="16"/>
              </w:rPr>
              <w:t>得分</w:t>
            </w:r>
          </w:p>
        </w:tc>
      </w:tr>
      <w:tr w14:paraId="25D6BC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164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83A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B0554">
            <w:pPr>
              <w:jc w:val="center"/>
            </w:pPr>
            <w:r>
              <w:rPr>
                <w:rFonts w:ascii="宋体" w:hAnsi="宋体" w:eastAsia="宋体"/>
                <w:sz w:val="16"/>
              </w:rPr>
              <w:t>23.70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681C7">
            <w:pPr>
              <w:jc w:val="center"/>
            </w:pPr>
            <w:r>
              <w:rPr>
                <w:rFonts w:ascii="宋体" w:hAnsi="宋体" w:eastAsia="宋体"/>
                <w:sz w:val="16"/>
              </w:rPr>
              <w:t>29.32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30859">
            <w:pPr>
              <w:jc w:val="center"/>
            </w:pPr>
            <w:r>
              <w:rPr>
                <w:rFonts w:ascii="宋体" w:hAnsi="宋体" w:eastAsia="宋体"/>
                <w:sz w:val="16"/>
              </w:rPr>
              <w:t>25.40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FD7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9B287">
            <w:pPr>
              <w:jc w:val="center"/>
            </w:pPr>
            <w:r>
              <w:rPr>
                <w:rFonts w:ascii="宋体" w:hAnsi="宋体" w:eastAsia="宋体"/>
                <w:sz w:val="16"/>
              </w:rPr>
              <w:t>86.63%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5A4A">
            <w:pPr>
              <w:jc w:val="center"/>
            </w:pPr>
            <w:r>
              <w:rPr>
                <w:rFonts w:ascii="宋体" w:hAnsi="宋体" w:eastAsia="宋体"/>
                <w:sz w:val="16"/>
              </w:rPr>
              <w:t>8.66</w:t>
            </w:r>
          </w:p>
        </w:tc>
      </w:tr>
      <w:tr w14:paraId="24A235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227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B0D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E920D">
            <w:pPr>
              <w:jc w:val="center"/>
            </w:pPr>
            <w:r>
              <w:rPr>
                <w:rFonts w:ascii="宋体" w:hAnsi="宋体" w:eastAsia="宋体"/>
                <w:sz w:val="16"/>
              </w:rPr>
              <w:t>23.70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AFE73">
            <w:pPr>
              <w:jc w:val="center"/>
            </w:pPr>
            <w:r>
              <w:rPr>
                <w:rFonts w:ascii="宋体" w:hAnsi="宋体" w:eastAsia="宋体"/>
                <w:sz w:val="16"/>
              </w:rPr>
              <w:t>29.32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75982">
            <w:pPr>
              <w:jc w:val="center"/>
            </w:pPr>
            <w:r>
              <w:rPr>
                <w:rFonts w:ascii="宋体" w:hAnsi="宋体" w:eastAsia="宋体"/>
                <w:sz w:val="16"/>
              </w:rPr>
              <w:t>25.40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5F6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162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C3AA">
            <w:pPr>
              <w:jc w:val="center"/>
            </w:pPr>
            <w:r>
              <w:rPr>
                <w:rFonts w:ascii="宋体" w:hAnsi="宋体" w:eastAsia="宋体"/>
                <w:sz w:val="16"/>
              </w:rPr>
              <w:t>—</w:t>
            </w:r>
          </w:p>
        </w:tc>
      </w:tr>
      <w:tr w14:paraId="4BD44A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EED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37C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9E5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29C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52E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7D5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8AB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9243">
            <w:pPr>
              <w:jc w:val="center"/>
            </w:pPr>
            <w:r>
              <w:rPr>
                <w:rFonts w:ascii="宋体" w:hAnsi="宋体" w:eastAsia="宋体"/>
                <w:sz w:val="16"/>
              </w:rPr>
              <w:t>—</w:t>
            </w:r>
          </w:p>
        </w:tc>
      </w:tr>
      <w:tr w14:paraId="6B0EC6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CC7B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6891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82E82B">
            <w:pPr>
              <w:jc w:val="center"/>
            </w:pPr>
            <w:r>
              <w:rPr>
                <w:rFonts w:ascii="宋体" w:hAnsi="宋体" w:eastAsia="宋体"/>
                <w:sz w:val="16"/>
              </w:rPr>
              <w:t>实际完成情况</w:t>
            </w:r>
          </w:p>
        </w:tc>
      </w:tr>
      <w:tr w14:paraId="79A3E5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1A2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D2BADF">
            <w:pPr>
              <w:jc w:val="both"/>
            </w:pPr>
            <w:r>
              <w:rPr>
                <w:rFonts w:ascii="宋体" w:hAnsi="宋体" w:eastAsia="宋体"/>
                <w:sz w:val="16"/>
              </w:rPr>
              <w:t>2024年（农村电影放映）项目资金29.32万元，用于普及行政村66个，农村电影放映车1辆，全年实际完成放映792场，放映员2人，提高民族文化素质，加快我县农村科普爱教知识发展，构建和谐文化，让农牧民群众看到好电影，为我县电影事业打下坚实而良好的基础，使我县电影工作稳步有序</w:t>
            </w:r>
            <w:r>
              <w:rPr>
                <w:rFonts w:hint="eastAsia" w:ascii="宋体" w:hAnsi="宋体"/>
                <w:sz w:val="16"/>
                <w:lang w:eastAsia="zh-CN"/>
              </w:rPr>
              <w:t>地</w:t>
            </w:r>
            <w:r>
              <w:rPr>
                <w:rFonts w:ascii="宋体" w:hAnsi="宋体" w:eastAsia="宋体"/>
                <w:sz w:val="16"/>
              </w:rPr>
              <w:t>健康发展、农牧民满意度95%。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CF2B2C">
            <w:pPr>
              <w:jc w:val="both"/>
            </w:pPr>
            <w:r>
              <w:rPr>
                <w:rFonts w:ascii="宋体" w:hAnsi="宋体" w:eastAsia="宋体"/>
                <w:sz w:val="16"/>
              </w:rPr>
              <w:t>完成全年实际放映任务792场，普及行政村66个，做到了每村都覆盖，达到放好电影目标，加快了我县农村科普爱教知识发展，构建和谐文化，让农牧民群众看到好电影，为我县电影事业打下坚实而良好的基础，使我县电影工作稳步有序的健康发展。</w:t>
            </w:r>
          </w:p>
        </w:tc>
      </w:tr>
      <w:tr w14:paraId="541E12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D016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3B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AE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6F5C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619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D8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4D0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FED6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EB86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53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7045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661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66F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154A6">
            <w:pPr>
              <w:jc w:val="center"/>
            </w:pPr>
            <w:r>
              <w:rPr>
                <w:rFonts w:ascii="宋体" w:hAnsi="宋体" w:eastAsia="宋体"/>
                <w:sz w:val="16"/>
              </w:rPr>
              <w:t>偏差原因分析及改进措施</w:t>
            </w:r>
          </w:p>
        </w:tc>
      </w:tr>
      <w:tr w14:paraId="6FEF66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377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78F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0A0B6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27C0">
            <w:pPr>
              <w:jc w:val="center"/>
            </w:pPr>
            <w:r>
              <w:rPr>
                <w:rFonts w:ascii="宋体" w:hAnsi="宋体" w:eastAsia="宋体"/>
                <w:sz w:val="16"/>
              </w:rPr>
              <w:t>普及行政村数量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7B44">
            <w:pPr>
              <w:jc w:val="center"/>
            </w:pPr>
            <w:r>
              <w:rPr>
                <w:rFonts w:ascii="宋体" w:hAnsi="宋体" w:eastAsia="宋体"/>
                <w:sz w:val="16"/>
              </w:rPr>
              <w:t>&gt;=66个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ED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DA31">
            <w:pPr>
              <w:jc w:val="center"/>
            </w:pPr>
            <w:r>
              <w:rPr>
                <w:rFonts w:ascii="宋体" w:hAnsi="宋体" w:eastAsia="宋体"/>
                <w:sz w:val="16"/>
              </w:rPr>
              <w:t>66个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EFE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07E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2FF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DA129">
            <w:pPr>
              <w:jc w:val="center"/>
            </w:pPr>
            <w:r>
              <w:rPr>
                <w:rFonts w:ascii="宋体" w:hAnsi="宋体" w:eastAsia="宋体"/>
                <w:sz w:val="16"/>
              </w:rPr>
              <w:t>=66个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48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C1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20E36">
            <w:pPr>
              <w:jc w:val="center"/>
            </w:pPr>
          </w:p>
        </w:tc>
      </w:tr>
      <w:tr w14:paraId="4D1C7A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2FD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BED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D96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91BF">
            <w:pPr>
              <w:jc w:val="center"/>
            </w:pPr>
            <w:r>
              <w:rPr>
                <w:rFonts w:ascii="宋体" w:hAnsi="宋体" w:eastAsia="宋体"/>
                <w:sz w:val="16"/>
              </w:rPr>
              <w:t>全年实际完成放映场次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40DF">
            <w:pPr>
              <w:jc w:val="center"/>
            </w:pPr>
            <w:r>
              <w:rPr>
                <w:rFonts w:ascii="宋体" w:hAnsi="宋体" w:eastAsia="宋体"/>
                <w:sz w:val="16"/>
              </w:rPr>
              <w:t>&gt;=792场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904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6AA7">
            <w:pPr>
              <w:jc w:val="center"/>
            </w:pPr>
            <w:r>
              <w:rPr>
                <w:rFonts w:ascii="宋体" w:hAnsi="宋体" w:eastAsia="宋体"/>
                <w:sz w:val="16"/>
              </w:rPr>
              <w:t>792场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54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DD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B70E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4331">
            <w:pPr>
              <w:jc w:val="center"/>
            </w:pPr>
            <w:r>
              <w:rPr>
                <w:rFonts w:ascii="宋体" w:hAnsi="宋体" w:eastAsia="宋体"/>
                <w:sz w:val="16"/>
              </w:rPr>
              <w:t>=792场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4D1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25E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D763D">
            <w:pPr>
              <w:jc w:val="center"/>
            </w:pPr>
          </w:p>
        </w:tc>
      </w:tr>
      <w:tr w14:paraId="3253E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DEC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F79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4E7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32178">
            <w:pPr>
              <w:jc w:val="center"/>
            </w:pPr>
            <w:r>
              <w:rPr>
                <w:rFonts w:ascii="宋体" w:hAnsi="宋体" w:eastAsia="宋体"/>
                <w:sz w:val="16"/>
              </w:rPr>
              <w:t>放映员人数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2E86">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6C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581A5">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4A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3F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1CEC">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790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A7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7C3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20663">
            <w:pPr>
              <w:jc w:val="center"/>
            </w:pPr>
          </w:p>
        </w:tc>
      </w:tr>
      <w:tr w14:paraId="03B7F6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946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B67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416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0F534">
            <w:pPr>
              <w:jc w:val="center"/>
            </w:pPr>
            <w:r>
              <w:rPr>
                <w:rFonts w:ascii="宋体" w:hAnsi="宋体" w:eastAsia="宋体"/>
                <w:sz w:val="16"/>
              </w:rPr>
              <w:t>全年新片率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5BD1">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8A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EFC3">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EB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889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47CD">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78993">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3D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44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2966C">
            <w:pPr>
              <w:jc w:val="center"/>
            </w:pPr>
          </w:p>
        </w:tc>
      </w:tr>
      <w:tr w14:paraId="16F98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F66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D08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81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E476">
            <w:pPr>
              <w:jc w:val="center"/>
            </w:pPr>
            <w:r>
              <w:rPr>
                <w:rFonts w:ascii="宋体" w:hAnsi="宋体" w:eastAsia="宋体"/>
                <w:sz w:val="16"/>
              </w:rPr>
              <w:t>农村电影放映覆盖率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EE7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A8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D1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96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344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7F69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03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F2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78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6AC12">
            <w:pPr>
              <w:jc w:val="center"/>
            </w:pPr>
          </w:p>
        </w:tc>
      </w:tr>
      <w:tr w14:paraId="31F546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68E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7E3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7AA5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3788">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28F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804B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CABB">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74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8C7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D235">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6CB8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DD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A3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8E81">
            <w:pPr>
              <w:jc w:val="center"/>
            </w:pPr>
          </w:p>
        </w:tc>
      </w:tr>
      <w:tr w14:paraId="76E934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673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3D1A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E03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3C694">
            <w:pPr>
              <w:jc w:val="center"/>
            </w:pPr>
            <w:r>
              <w:rPr>
                <w:rFonts w:ascii="宋体" w:hAnsi="宋体" w:eastAsia="宋体"/>
                <w:sz w:val="16"/>
              </w:rPr>
              <w:t>维修（护）费（含电影下载、折旧费）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B9AB">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49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C5142">
            <w:pPr>
              <w:jc w:val="center"/>
            </w:pPr>
            <w:r>
              <w:rPr>
                <w:rFonts w:ascii="宋体" w:hAnsi="宋体" w:eastAsia="宋体"/>
                <w:sz w:val="16"/>
              </w:rPr>
              <w:t>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7477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DA8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359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940D">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ABD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36C4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CF7A">
            <w:pPr>
              <w:jc w:val="center"/>
            </w:pPr>
          </w:p>
        </w:tc>
      </w:tr>
      <w:tr w14:paraId="73E4EC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E29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BA2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53A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4B2AC">
            <w:pPr>
              <w:jc w:val="center"/>
            </w:pPr>
            <w:r>
              <w:rPr>
                <w:rFonts w:ascii="宋体" w:hAnsi="宋体" w:eastAsia="宋体"/>
                <w:sz w:val="16"/>
              </w:rPr>
              <w:t>放映员劳务费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2146">
            <w:pPr>
              <w:jc w:val="center"/>
            </w:pPr>
            <w:r>
              <w:rPr>
                <w:rFonts w:ascii="宋体" w:hAnsi="宋体" w:eastAsia="宋体"/>
                <w:sz w:val="16"/>
              </w:rPr>
              <w:t>&lt;=14.72万元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0A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E4B2">
            <w:pPr>
              <w:jc w:val="center"/>
            </w:pPr>
            <w:r>
              <w:rPr>
                <w:rFonts w:ascii="宋体" w:hAnsi="宋体" w:eastAsia="宋体"/>
                <w:sz w:val="16"/>
              </w:rPr>
              <w:t>13.17万元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6E2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E31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F9F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9B320">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55B69">
            <w:pPr>
              <w:jc w:val="center"/>
            </w:pPr>
            <w:r>
              <w:rPr>
                <w:rFonts w:ascii="宋体" w:hAnsi="宋体" w:eastAsia="宋体"/>
                <w:sz w:val="16"/>
              </w:rPr>
              <w:t>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ACB72">
            <w:pPr>
              <w:jc w:val="center"/>
            </w:pPr>
            <w:r>
              <w:rPr>
                <w:rFonts w:ascii="宋体" w:hAnsi="宋体" w:eastAsia="宋体"/>
                <w:sz w:val="16"/>
              </w:rPr>
              <w:t>4.92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2AF6">
            <w:pPr>
              <w:jc w:val="center"/>
            </w:pPr>
            <w:r>
              <w:rPr>
                <w:rFonts w:ascii="宋体" w:hAnsi="宋体" w:eastAsia="宋体"/>
                <w:sz w:val="16"/>
              </w:rPr>
              <w:t>因为该项目资金按照放电影的任务完成情况来向地区申请每季度项目资金，因此最后一季度的资金在下年（2025年第一季度）支付。整改措施：加大对资金的支付力度。</w:t>
            </w:r>
          </w:p>
        </w:tc>
      </w:tr>
      <w:tr w14:paraId="76F3EF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B2E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8B9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912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2E9D2">
            <w:pPr>
              <w:jc w:val="center"/>
            </w:pPr>
            <w:r>
              <w:rPr>
                <w:rFonts w:ascii="宋体" w:hAnsi="宋体" w:eastAsia="宋体"/>
                <w:sz w:val="16"/>
              </w:rPr>
              <w:t>放映车辆运行维护费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9BB3">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AC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0DEEA">
            <w:pPr>
              <w:jc w:val="center"/>
            </w:pPr>
            <w:r>
              <w:rPr>
                <w:rFonts w:ascii="宋体" w:hAnsi="宋体" w:eastAsia="宋体"/>
                <w:sz w:val="16"/>
              </w:rPr>
              <w:t>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01E5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E6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A5C2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0582">
            <w:pPr>
              <w:jc w:val="center"/>
            </w:pPr>
            <w:r>
              <w:rPr>
                <w:rFonts w:ascii="宋体" w:hAnsi="宋体" w:eastAsia="宋体"/>
                <w:sz w:val="16"/>
              </w:rPr>
              <w:t>=5.8万元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55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00D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1625">
            <w:pPr>
              <w:jc w:val="center"/>
            </w:pPr>
          </w:p>
        </w:tc>
      </w:tr>
      <w:tr w14:paraId="2B2AA4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F95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BAF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C8D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ADB1C">
            <w:pPr>
              <w:jc w:val="center"/>
            </w:pPr>
            <w:r>
              <w:rPr>
                <w:rFonts w:ascii="宋体" w:hAnsi="宋体" w:eastAsia="宋体"/>
                <w:sz w:val="16"/>
              </w:rPr>
              <w:t>办公费（邮寄、手续费等）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F5E3">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9C3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2D48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D0B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06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AE7A">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0EA1A">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B09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3B4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5620">
            <w:pPr>
              <w:jc w:val="center"/>
            </w:pPr>
          </w:p>
        </w:tc>
      </w:tr>
      <w:tr w14:paraId="23553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3F3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5D3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02E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5AC3E">
            <w:pPr>
              <w:jc w:val="center"/>
            </w:pPr>
            <w:r>
              <w:rPr>
                <w:rFonts w:ascii="宋体" w:hAnsi="宋体" w:eastAsia="宋体"/>
                <w:sz w:val="16"/>
              </w:rPr>
              <w:t>电影进校费用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9130">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2B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CB4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282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77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0FCF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D45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B98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FC4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4A88">
            <w:pPr>
              <w:jc w:val="center"/>
            </w:pPr>
            <w:r>
              <w:rPr>
                <w:rFonts w:ascii="宋体" w:hAnsi="宋体" w:eastAsia="宋体"/>
                <w:sz w:val="16"/>
              </w:rPr>
              <w:t>因电影进校资金塔城地区另下指标，在单位资金</w:t>
            </w:r>
            <w:r>
              <w:rPr>
                <w:rFonts w:hint="eastAsia" w:ascii="宋体" w:hAnsi="宋体"/>
                <w:sz w:val="16"/>
                <w:lang w:eastAsia="zh-CN"/>
              </w:rPr>
              <w:t>项目中</w:t>
            </w:r>
            <w:r>
              <w:rPr>
                <w:rFonts w:ascii="宋体" w:hAnsi="宋体" w:eastAsia="宋体"/>
                <w:sz w:val="16"/>
              </w:rPr>
              <w:t>完成，因此此项资金未用，退回国库。</w:t>
            </w:r>
          </w:p>
        </w:tc>
      </w:tr>
      <w:tr w14:paraId="56845B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AF7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845D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1F20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CA6C">
            <w:pPr>
              <w:jc w:val="center"/>
            </w:pPr>
            <w:r>
              <w:rPr>
                <w:rFonts w:ascii="宋体" w:hAnsi="宋体" w:eastAsia="宋体"/>
                <w:sz w:val="16"/>
              </w:rPr>
              <w:t>改善农牧民生活质量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7B6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A973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616F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90D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476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523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97A6">
            <w:pPr>
              <w:jc w:val="center"/>
            </w:pPr>
            <w:r>
              <w:rPr>
                <w:rFonts w:ascii="宋体" w:hAnsi="宋体" w:eastAsia="宋体"/>
                <w:sz w:val="16"/>
              </w:rPr>
              <w:t>达到预期目标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14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6B8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CDDB">
            <w:pPr>
              <w:jc w:val="center"/>
            </w:pPr>
          </w:p>
        </w:tc>
      </w:tr>
      <w:tr w14:paraId="24C7D8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F28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99A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852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B199B">
            <w:pPr>
              <w:jc w:val="center"/>
            </w:pPr>
            <w:r>
              <w:rPr>
                <w:rFonts w:ascii="宋体" w:hAnsi="宋体" w:eastAsia="宋体"/>
                <w:sz w:val="16"/>
              </w:rPr>
              <w:t>持续提高农牧民文化水平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CCF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BCB1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F63E">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97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341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CAC4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77C71">
            <w:pPr>
              <w:jc w:val="center"/>
            </w:pPr>
            <w:r>
              <w:rPr>
                <w:rFonts w:ascii="宋体" w:hAnsi="宋体" w:eastAsia="宋体"/>
                <w:sz w:val="16"/>
              </w:rPr>
              <w:t>达到预期目标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CB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BA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452B">
            <w:pPr>
              <w:jc w:val="center"/>
            </w:pPr>
          </w:p>
        </w:tc>
      </w:tr>
      <w:tr w14:paraId="3749F7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57D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63C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91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3E930">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F2B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F23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A12F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B14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C5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9C7E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7B8D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F1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DA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C392">
            <w:pPr>
              <w:jc w:val="center"/>
            </w:pPr>
          </w:p>
        </w:tc>
      </w:tr>
      <w:tr w14:paraId="3DD57AF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51DF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E4F4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EB9B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6FD0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D0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DB65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2589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D3D6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1CDA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E8F70">
            <w:pPr>
              <w:jc w:val="center"/>
            </w:pPr>
            <w:r>
              <w:rPr>
                <w:rFonts w:ascii="宋体" w:hAnsi="宋体" w:eastAsia="宋体"/>
                <w:sz w:val="16"/>
              </w:rPr>
              <w:t>93.58分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7DCDF8"/>
        </w:tc>
      </w:tr>
    </w:tbl>
    <w:p w14:paraId="3AB8F1DB">
      <w:r>
        <w:br w:type="page"/>
      </w:r>
    </w:p>
    <w:p w14:paraId="346F9C77">
      <w:pPr>
        <w:spacing w:line="640" w:lineRule="exact"/>
        <w:ind w:firstLine="640"/>
        <w:jc w:val="both"/>
        <w:outlineLvl w:val="2"/>
      </w:pPr>
      <w:r>
        <w:rPr>
          <w:rFonts w:ascii="黑体" w:hAnsi="黑体" w:eastAsia="黑体"/>
          <w:sz w:val="32"/>
        </w:rPr>
        <w:t>十二、其他需说明的事项</w:t>
      </w:r>
    </w:p>
    <w:p w14:paraId="04171977">
      <w:pPr>
        <w:spacing w:line="580" w:lineRule="exact"/>
        <w:ind w:firstLine="640"/>
        <w:jc w:val="both"/>
      </w:pPr>
      <w:r>
        <w:rPr>
          <w:rFonts w:ascii="仿宋_GB2312" w:hAnsi="仿宋_GB2312" w:eastAsia="仿宋_GB2312"/>
          <w:b w:val="0"/>
          <w:sz w:val="32"/>
        </w:rPr>
        <w:t>本单位无其他需说明的事项。</w:t>
      </w:r>
    </w:p>
    <w:p w14:paraId="72D2CCC8">
      <w:r>
        <w:br w:type="page"/>
      </w:r>
    </w:p>
    <w:p w14:paraId="0C8DA04D">
      <w:pPr>
        <w:spacing w:line="240" w:lineRule="auto"/>
        <w:jc w:val="center"/>
        <w:outlineLvl w:val="1"/>
      </w:pPr>
      <w:r>
        <w:rPr>
          <w:rFonts w:ascii="黑体" w:hAnsi="黑体" w:eastAsia="黑体"/>
          <w:sz w:val="32"/>
        </w:rPr>
        <w:t>第三部分 专业名词解释</w:t>
      </w:r>
    </w:p>
    <w:p w14:paraId="1B00F79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B72A12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390B4D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572C8A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5BDBE0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39D298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E8ADD9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9B1D0E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E3F5F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8C2EC8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98310D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E397D0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1654F9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9AAAA7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88F724F">
      <w:r>
        <w:br w:type="page"/>
      </w:r>
    </w:p>
    <w:p w14:paraId="7C1D10DD">
      <w:pPr>
        <w:spacing w:line="240" w:lineRule="auto"/>
        <w:jc w:val="center"/>
        <w:outlineLvl w:val="1"/>
      </w:pPr>
      <w:r>
        <w:rPr>
          <w:rFonts w:ascii="黑体" w:hAnsi="黑体" w:eastAsia="黑体"/>
          <w:sz w:val="32"/>
        </w:rPr>
        <w:t>第四部分 部门决算报表（见附表）</w:t>
      </w:r>
    </w:p>
    <w:p w14:paraId="5D8801B3">
      <w:pPr>
        <w:spacing w:line="240" w:lineRule="auto"/>
        <w:ind w:firstLine="640"/>
        <w:jc w:val="both"/>
      </w:pPr>
      <w:r>
        <w:rPr>
          <w:rFonts w:ascii="仿宋_GB2312" w:hAnsi="仿宋_GB2312" w:eastAsia="仿宋_GB2312"/>
          <w:b w:val="0"/>
          <w:sz w:val="32"/>
        </w:rPr>
        <w:t>一、《收入支出决算总表》</w:t>
      </w:r>
    </w:p>
    <w:p w14:paraId="2E326912">
      <w:pPr>
        <w:spacing w:line="240" w:lineRule="auto"/>
        <w:ind w:firstLine="640"/>
        <w:jc w:val="both"/>
      </w:pPr>
      <w:r>
        <w:rPr>
          <w:rFonts w:ascii="仿宋_GB2312" w:hAnsi="仿宋_GB2312" w:eastAsia="仿宋_GB2312"/>
          <w:b w:val="0"/>
          <w:sz w:val="32"/>
        </w:rPr>
        <w:t>二、《收入决算表》</w:t>
      </w:r>
    </w:p>
    <w:p w14:paraId="16B55B89">
      <w:pPr>
        <w:spacing w:line="240" w:lineRule="auto"/>
        <w:ind w:firstLine="640"/>
        <w:jc w:val="both"/>
      </w:pPr>
      <w:r>
        <w:rPr>
          <w:rFonts w:ascii="仿宋_GB2312" w:hAnsi="仿宋_GB2312" w:eastAsia="仿宋_GB2312"/>
          <w:b w:val="0"/>
          <w:sz w:val="32"/>
        </w:rPr>
        <w:t>三、《支出决算表》</w:t>
      </w:r>
    </w:p>
    <w:p w14:paraId="7D824B79">
      <w:pPr>
        <w:spacing w:line="240" w:lineRule="auto"/>
        <w:ind w:firstLine="640"/>
        <w:jc w:val="both"/>
      </w:pPr>
      <w:r>
        <w:rPr>
          <w:rFonts w:ascii="仿宋_GB2312" w:hAnsi="仿宋_GB2312" w:eastAsia="仿宋_GB2312"/>
          <w:b w:val="0"/>
          <w:sz w:val="32"/>
        </w:rPr>
        <w:t>四、《财政拨款收入支出决算总表》</w:t>
      </w:r>
    </w:p>
    <w:p w14:paraId="1D7FE504">
      <w:pPr>
        <w:spacing w:line="240" w:lineRule="auto"/>
        <w:ind w:firstLine="640"/>
        <w:jc w:val="both"/>
      </w:pPr>
      <w:r>
        <w:rPr>
          <w:rFonts w:ascii="仿宋_GB2312" w:hAnsi="仿宋_GB2312" w:eastAsia="仿宋_GB2312"/>
          <w:b w:val="0"/>
          <w:sz w:val="32"/>
        </w:rPr>
        <w:t>五、《一般公共预算财政拨款支出决算表》</w:t>
      </w:r>
    </w:p>
    <w:p w14:paraId="14AC160C">
      <w:pPr>
        <w:spacing w:line="240" w:lineRule="auto"/>
        <w:ind w:firstLine="640"/>
        <w:jc w:val="both"/>
      </w:pPr>
      <w:r>
        <w:rPr>
          <w:rFonts w:ascii="仿宋_GB2312" w:hAnsi="仿宋_GB2312" w:eastAsia="仿宋_GB2312"/>
          <w:b w:val="0"/>
          <w:sz w:val="32"/>
        </w:rPr>
        <w:t>六、《一般公共预算财政拨款基本支出决算表》</w:t>
      </w:r>
    </w:p>
    <w:p w14:paraId="4E2A435D">
      <w:pPr>
        <w:spacing w:line="240" w:lineRule="auto"/>
        <w:ind w:firstLine="640"/>
        <w:jc w:val="both"/>
      </w:pPr>
      <w:r>
        <w:rPr>
          <w:rFonts w:ascii="仿宋_GB2312" w:hAnsi="仿宋_GB2312" w:eastAsia="仿宋_GB2312"/>
          <w:b w:val="0"/>
          <w:sz w:val="32"/>
        </w:rPr>
        <w:t>七、《政府性基金预算财政拨款收入支出决算表》</w:t>
      </w:r>
    </w:p>
    <w:p w14:paraId="649E0D03">
      <w:pPr>
        <w:spacing w:line="240" w:lineRule="auto"/>
        <w:ind w:firstLine="640"/>
        <w:jc w:val="both"/>
      </w:pPr>
      <w:r>
        <w:rPr>
          <w:rFonts w:ascii="仿宋_GB2312" w:hAnsi="仿宋_GB2312" w:eastAsia="仿宋_GB2312"/>
          <w:b w:val="0"/>
          <w:sz w:val="32"/>
        </w:rPr>
        <w:t>八、《国有资本经营预算财政拨款收入支出决算表》</w:t>
      </w:r>
    </w:p>
    <w:p w14:paraId="260FB4CB">
      <w:pPr>
        <w:spacing w:line="240" w:lineRule="auto"/>
        <w:ind w:firstLine="640"/>
        <w:jc w:val="both"/>
      </w:pPr>
      <w:r>
        <w:rPr>
          <w:rFonts w:ascii="仿宋_GB2312" w:hAnsi="仿宋_GB2312" w:eastAsia="仿宋_GB2312"/>
          <w:b w:val="0"/>
          <w:sz w:val="32"/>
        </w:rPr>
        <w:t>九、《财政拨款“三公”经费支出决算表》</w:t>
      </w:r>
    </w:p>
    <w:p w14:paraId="2A725CD3">
      <w:pPr>
        <w:spacing w:line="240" w:lineRule="auto"/>
        <w:ind w:firstLine="640"/>
        <w:jc w:val="both"/>
      </w:pPr>
    </w:p>
    <w:p w14:paraId="4E0046CE">
      <w:pPr>
        <w:spacing w:line="240" w:lineRule="auto"/>
        <w:ind w:firstLine="640"/>
        <w:jc w:val="both"/>
      </w:pPr>
    </w:p>
    <w:p w14:paraId="1534E2B8">
      <w:pPr>
        <w:spacing w:line="240" w:lineRule="auto"/>
        <w:ind w:firstLine="640"/>
        <w:jc w:val="both"/>
      </w:pPr>
    </w:p>
    <w:p w14:paraId="79227C2C">
      <w:pPr>
        <w:spacing w:line="240" w:lineRule="auto"/>
        <w:ind w:firstLine="640"/>
        <w:jc w:val="both"/>
      </w:pPr>
    </w:p>
    <w:p w14:paraId="606B4F8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21506E"/>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926ED"/>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1fc23ca2-c245-470a-81f6-c7085a823480</errorID>
      <errorWord>2月31日</errorWord>
      <group>L1_Sensitive</group>
      <groupName>敏感问题</groupName>
      <ability>L2_UserSensitive</ability>
      <abilityName>自定义敏感词</abilityName>
      <candidateList/>
      <explain>来自自定义敏感词库。</explain>
      <paraID>2D5885C3</paraID>
      <start>8</start>
      <end>13</end>
      <status>ignored</status>
      <modifiedWord/>
      <trackRevisions>false</trackRevisions>
    </reviewItem>
    <reviewItem>
      <errorID>4e0fb715-a080-4a20-ae56-878148cbb116</errorID>
      <errorWord>坚持以习近平新时代中国特色社会主义为指导</errorWord>
      <group>L1_Other</group>
      <groupName>其他问题</groupName>
      <ability>L2_UserTypo</ability>
      <abilityName>自定义错误</abilityName>
      <candidateList>
        <item>坚持以习近平新时代中国特色社会主义思想为指导</item>
      </candidateList>
      <explain>来自自定义错词库。</explain>
      <paraID>46FE49A0</paraID>
      <start>0</start>
      <end>22</end>
      <status>modified</status>
      <modifiedWord>坚持以习近平新时代中国特色社会主义思想为指导</modifiedWord>
      <trackRevisions>false</trackRevisions>
    </reviewItem>
    <reviewItem>
      <errorID>ef5fc50a-5ace-48e8-a47e-d32c8c23c354</errorID>
      <errorWord>，</errorWord>
      <group>L1_Word</group>
      <groupName>字词问题</groupName>
      <ability>L2_Typo</ability>
      <abilityName>字词错误</abilityName>
      <candidateList>
        <item>，在</item>
      </candidateList>
      <explain/>
      <paraID>6601C25B</paraID>
      <start>6</start>
      <end>8</end>
      <status>modified</status>
      <modifiedWord>，在</modifiedWord>
      <trackRevisions>false</trackRevisions>
    </reviewItem>
    <reviewItem>
      <errorID>3a0d4811-c6f8-4465-a617-f1fa667553be</errorID>
      <errorWord>-</errorWord>
      <group>L1_Format</group>
      <groupName>格式问题</groupName>
      <ability>L2_HalfPunc</ability>
      <abilityName>全半角检查</abilityName>
      <candidateList>
        <item>－</item>
      </candidateList>
      <explain>文本全半角错误。</explain>
      <paraID>1D0240BA</paraID>
      <start>9</start>
      <end>10</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5ab815-9cd2-4f67-99d5-1d5ae667b058}">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5176</Words>
  <Characters>5973</Characters>
  <Lines>0</Lines>
  <Paragraphs>0</Paragraphs>
  <TotalTime>4</TotalTime>
  <ScaleCrop>false</ScaleCrop>
  <LinksUpToDate>false</LinksUpToDate>
  <CharactersWithSpaces>5984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2025-10-31T11:05:53Z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