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A22F1C">
      <w:r>
        <w:br w:type="page"/>
      </w:r>
    </w:p>
    <w:p w14:paraId="4F7F753C">
      <w:pPr>
        <w:spacing w:line="640" w:lineRule="exact"/>
        <w:jc w:val="center"/>
        <w:outlineLvl w:val="1"/>
      </w:pPr>
      <w:r>
        <w:rPr>
          <w:rFonts w:ascii="黑体" w:hAnsi="黑体" w:eastAsia="黑体"/>
          <w:sz w:val="32"/>
        </w:rPr>
        <w:t>第一部分 单位概况</w:t>
      </w:r>
    </w:p>
    <w:p w14:paraId="5BD57BD3">
      <w:pPr>
        <w:spacing w:line="640" w:lineRule="exact"/>
        <w:ind w:firstLine="640"/>
        <w:jc w:val="both"/>
        <w:outlineLvl w:val="2"/>
      </w:pPr>
      <w:r>
        <w:rPr>
          <w:rFonts w:ascii="黑体" w:hAnsi="黑体" w:eastAsia="黑体"/>
          <w:sz w:val="32"/>
        </w:rPr>
        <w:t>一、主要职能</w:t>
      </w:r>
    </w:p>
    <w:p w14:paraId="7AB6EF6E">
      <w:pPr>
        <w:spacing w:line="580" w:lineRule="exact"/>
        <w:ind w:firstLine="640"/>
        <w:jc w:val="both"/>
      </w:pPr>
      <w:r>
        <w:rPr>
          <w:rFonts w:ascii="仿宋_GB2312" w:hAnsi="仿宋_GB2312" w:eastAsia="仿宋_GB2312"/>
          <w:sz w:val="32"/>
        </w:rPr>
        <w:t>托里县幼儿园主要职能是组织教育教学、科学研究活动，保证教育教学质量，服务本地学前教育。</w:t>
      </w:r>
    </w:p>
    <w:p w14:paraId="3E653E1B">
      <w:pPr>
        <w:spacing w:line="580" w:lineRule="exact"/>
        <w:ind w:firstLine="640"/>
        <w:jc w:val="both"/>
      </w:pPr>
      <w:r>
        <w:rPr>
          <w:rFonts w:ascii="仿宋_GB2312" w:hAnsi="仿宋_GB2312" w:eastAsia="仿宋_GB2312"/>
          <w:sz w:val="32"/>
        </w:rPr>
        <w:t>(1)认真贯彻落实党的教育方针，积极配合教育行政部门做好教育教学指导工作。</w:t>
      </w:r>
    </w:p>
    <w:p w14:paraId="68FCCEA5">
      <w:pPr>
        <w:spacing w:line="580" w:lineRule="exact"/>
        <w:ind w:firstLine="640"/>
        <w:jc w:val="both"/>
      </w:pPr>
      <w:r>
        <w:rPr>
          <w:rFonts w:ascii="仿宋_GB2312" w:hAnsi="仿宋_GB2312" w:eastAsia="仿宋_GB2312"/>
          <w:sz w:val="32"/>
        </w:rPr>
        <w:t>(2)为全园教师开展教师校本培训提供指导和服务。</w:t>
      </w:r>
    </w:p>
    <w:p w14:paraId="40F4A697">
      <w:pPr>
        <w:spacing w:line="580" w:lineRule="exact"/>
        <w:ind w:firstLine="640"/>
        <w:jc w:val="both"/>
      </w:pPr>
      <w:r>
        <w:rPr>
          <w:rFonts w:ascii="仿宋_GB2312" w:hAnsi="仿宋_GB2312" w:eastAsia="仿宋_GB2312"/>
          <w:sz w:val="32"/>
        </w:rPr>
        <w:t>(3)承担全校基础教育新课程、教材和教法培训等，成为全校开展幼儿园教师教育工作的培训、研究和服务中心。</w:t>
      </w:r>
    </w:p>
    <w:p w14:paraId="1FD68207">
      <w:pPr>
        <w:spacing w:line="580" w:lineRule="exact"/>
        <w:ind w:firstLine="640"/>
        <w:jc w:val="both"/>
      </w:pPr>
      <w:r>
        <w:rPr>
          <w:rFonts w:ascii="仿宋_GB2312" w:hAnsi="仿宋_GB2312" w:eastAsia="仿宋_GB2312"/>
          <w:sz w:val="32"/>
        </w:rPr>
        <w:t>(4)配合教育行政部门做好全校有关幼儿园教师继续教育和实施教师资格制度的组织、协调、评价和服务工作。</w:t>
      </w:r>
    </w:p>
    <w:p w14:paraId="780E5E3A">
      <w:pPr>
        <w:spacing w:line="580" w:lineRule="exact"/>
        <w:ind w:firstLine="640"/>
        <w:jc w:val="both"/>
      </w:pPr>
      <w:r>
        <w:rPr>
          <w:rFonts w:ascii="仿宋_GB2312" w:hAnsi="仿宋_GB2312" w:eastAsia="仿宋_GB2312"/>
          <w:sz w:val="32"/>
        </w:rPr>
        <w:t>(5)指导教师在教学实践中学习和研究，推动教师开展教改实验，不断提高教师的专业化水平。</w:t>
      </w:r>
    </w:p>
    <w:p w14:paraId="0D2EA5F1">
      <w:pPr>
        <w:spacing w:line="580" w:lineRule="exact"/>
        <w:ind w:firstLine="640"/>
        <w:jc w:val="both"/>
      </w:pPr>
      <w:r>
        <w:rPr>
          <w:rFonts w:ascii="仿宋_GB2312" w:hAnsi="仿宋_GB2312" w:eastAsia="仿宋_GB2312"/>
          <w:sz w:val="32"/>
        </w:rPr>
        <w:t>(6)为全园教师开展校本培训和日常教学提供信息技术和现代教育技术服务。</w:t>
      </w:r>
    </w:p>
    <w:p w14:paraId="23181106">
      <w:pPr>
        <w:spacing w:line="640" w:lineRule="exact"/>
        <w:ind w:firstLine="640"/>
        <w:jc w:val="both"/>
        <w:outlineLvl w:val="2"/>
      </w:pPr>
      <w:r>
        <w:rPr>
          <w:rFonts w:ascii="黑体" w:hAnsi="黑体" w:eastAsia="黑体"/>
          <w:sz w:val="32"/>
        </w:rPr>
        <w:t>二、机构设置及人员情况</w:t>
      </w:r>
    </w:p>
    <w:p w14:paraId="282A482E">
      <w:pPr>
        <w:spacing w:line="580" w:lineRule="exact"/>
        <w:ind w:firstLine="640"/>
        <w:jc w:val="both"/>
      </w:pPr>
      <w:r>
        <w:rPr>
          <w:rFonts w:ascii="仿宋_GB2312" w:hAnsi="仿宋_GB2312" w:eastAsia="仿宋_GB2312"/>
          <w:sz w:val="32"/>
        </w:rPr>
        <w:t>托里县幼儿园2024年度，实有人数125人，其中：在职人员70人，增加7人；离休人员0人，增加0人；退休人员55人,增加0人。</w:t>
      </w:r>
    </w:p>
    <w:p w14:paraId="4E5B08C2">
      <w:pPr>
        <w:spacing w:line="580" w:lineRule="exact"/>
        <w:ind w:firstLine="640"/>
        <w:jc w:val="both"/>
      </w:pPr>
      <w:r>
        <w:rPr>
          <w:rFonts w:ascii="仿宋_GB2312" w:hAnsi="仿宋_GB2312" w:eastAsia="仿宋_GB2312"/>
          <w:sz w:val="32"/>
        </w:rPr>
        <w:t>托里县幼儿园无下属预算单位，下设6个科室，分别是：办公室、财务室、教务处、德育处、党建办、总务处。</w:t>
      </w:r>
    </w:p>
    <w:p w14:paraId="78C9A3D9">
      <w:r>
        <w:br w:type="page"/>
      </w:r>
    </w:p>
    <w:p w14:paraId="16E5ECB5">
      <w:pPr>
        <w:spacing w:line="240" w:lineRule="auto"/>
        <w:jc w:val="center"/>
        <w:outlineLvl w:val="1"/>
      </w:pPr>
      <w:r>
        <w:rPr>
          <w:rFonts w:ascii="黑体" w:hAnsi="黑体" w:eastAsia="黑体"/>
          <w:sz w:val="32"/>
        </w:rPr>
        <w:t>第二部分 部门决算情况说明</w:t>
      </w:r>
    </w:p>
    <w:p w14:paraId="16D643BD">
      <w:pPr>
        <w:spacing w:line="640" w:lineRule="exact"/>
        <w:ind w:firstLine="640"/>
        <w:jc w:val="both"/>
        <w:outlineLvl w:val="2"/>
      </w:pPr>
      <w:r>
        <w:rPr>
          <w:rFonts w:ascii="黑体" w:hAnsi="黑体" w:eastAsia="黑体"/>
          <w:sz w:val="32"/>
        </w:rPr>
        <w:t>一、收入支出决算总体情况说明</w:t>
      </w:r>
    </w:p>
    <w:p w14:paraId="680A78B8">
      <w:pPr>
        <w:spacing w:line="580" w:lineRule="exact"/>
        <w:ind w:firstLine="640"/>
        <w:jc w:val="both"/>
      </w:pPr>
      <w:r>
        <w:rPr>
          <w:rFonts w:ascii="仿宋_GB2312" w:hAnsi="仿宋_GB2312" w:eastAsia="仿宋_GB2312"/>
          <w:b/>
          <w:sz w:val="32"/>
        </w:rPr>
        <w:t>2024年度收入总计1,559.72万元，</w:t>
      </w:r>
      <w:r>
        <w:rPr>
          <w:rFonts w:ascii="仿宋_GB2312" w:hAnsi="仿宋_GB2312" w:eastAsia="仿宋_GB2312"/>
          <w:b w:val="0"/>
          <w:sz w:val="32"/>
        </w:rPr>
        <w:t>其中：本年收入合计1,559.72万元，使用非财政拨款结余（含专用结余）0.00万元，年初结转和结余0.01万元。</w:t>
      </w:r>
    </w:p>
    <w:p w14:paraId="6111A205">
      <w:pPr>
        <w:spacing w:line="580" w:lineRule="exact"/>
        <w:ind w:firstLine="640"/>
        <w:jc w:val="both"/>
      </w:pPr>
      <w:r>
        <w:rPr>
          <w:rFonts w:ascii="仿宋_GB2312" w:hAnsi="仿宋_GB2312" w:eastAsia="仿宋_GB2312"/>
          <w:b/>
          <w:sz w:val="32"/>
        </w:rPr>
        <w:t>2024年度支出总计1,559.72万元，</w:t>
      </w:r>
      <w:r>
        <w:rPr>
          <w:rFonts w:ascii="仿宋_GB2312" w:hAnsi="仿宋_GB2312" w:eastAsia="仿宋_GB2312"/>
          <w:b w:val="0"/>
          <w:sz w:val="32"/>
        </w:rPr>
        <w:t>其中：本年支出合计1,559.70万元，结余分配0.00万元，年末结转和结余0.02万元。</w:t>
      </w:r>
    </w:p>
    <w:p w14:paraId="401755AB">
      <w:pPr>
        <w:spacing w:line="580" w:lineRule="exact"/>
        <w:ind w:firstLine="640"/>
        <w:jc w:val="both"/>
      </w:pPr>
      <w:r>
        <w:rPr>
          <w:rFonts w:ascii="仿宋_GB2312" w:hAnsi="仿宋_GB2312" w:eastAsia="仿宋_GB2312"/>
          <w:b w:val="0"/>
          <w:sz w:val="32"/>
        </w:rPr>
        <w:t>收入支出总体与上年相比，增加204.19万元，增长15.06%，主要原因是：本年在职人员增加，在职人员工资调增、社保、公积金基数调增，人员经费增加。本年增加2024年度农村学前三年免费教育保障经费项目资金，导致经费较上年增加。</w:t>
      </w:r>
    </w:p>
    <w:p w14:paraId="6BB281BB">
      <w:pPr>
        <w:spacing w:line="640" w:lineRule="exact"/>
        <w:ind w:firstLine="640"/>
        <w:jc w:val="both"/>
        <w:outlineLvl w:val="2"/>
      </w:pPr>
      <w:r>
        <w:rPr>
          <w:rFonts w:ascii="黑体" w:hAnsi="黑体" w:eastAsia="黑体"/>
          <w:sz w:val="32"/>
        </w:rPr>
        <w:t>二、收入决算情况说明</w:t>
      </w:r>
    </w:p>
    <w:p w14:paraId="64665B1B">
      <w:pPr>
        <w:spacing w:line="580" w:lineRule="exact"/>
        <w:ind w:firstLine="640"/>
        <w:jc w:val="both"/>
      </w:pPr>
      <w:r>
        <w:rPr>
          <w:rFonts w:ascii="仿宋_GB2312" w:hAnsi="仿宋_GB2312" w:eastAsia="仿宋_GB2312"/>
          <w:b/>
          <w:sz w:val="32"/>
        </w:rPr>
        <w:t>本年收入1,559.72万元，</w:t>
      </w:r>
      <w:r>
        <w:rPr>
          <w:rFonts w:ascii="仿宋_GB2312" w:hAnsi="仿宋_GB2312" w:eastAsia="仿宋_GB2312"/>
          <w:b w:val="0"/>
          <w:sz w:val="32"/>
        </w:rPr>
        <w:t>其中：财政拨款收入1,559.68万元，占100.00%；上级补助收入0.00万元，占0.00%；事业收入0.00万元，占0.00%；经营收入0.00万元，占0.00%；附属单位上缴收入0.00万元，占0.00%；其他收入0.03万元，占0.002%。</w:t>
      </w:r>
    </w:p>
    <w:p w14:paraId="4800ADE1">
      <w:pPr>
        <w:spacing w:line="640" w:lineRule="exact"/>
        <w:ind w:firstLine="640"/>
        <w:jc w:val="both"/>
        <w:outlineLvl w:val="2"/>
      </w:pPr>
      <w:r>
        <w:rPr>
          <w:rFonts w:ascii="黑体" w:hAnsi="黑体" w:eastAsia="黑体"/>
          <w:sz w:val="32"/>
        </w:rPr>
        <w:t>三、支出决算情况说明</w:t>
      </w:r>
    </w:p>
    <w:p w14:paraId="1B558361">
      <w:pPr>
        <w:spacing w:line="580" w:lineRule="exact"/>
        <w:ind w:firstLine="640"/>
        <w:jc w:val="both"/>
      </w:pPr>
      <w:r>
        <w:rPr>
          <w:rFonts w:ascii="仿宋_GB2312" w:hAnsi="仿宋_GB2312" w:eastAsia="仿宋_GB2312"/>
          <w:b/>
          <w:sz w:val="32"/>
        </w:rPr>
        <w:t>本年支出1,559.70万元，</w:t>
      </w:r>
      <w:r>
        <w:rPr>
          <w:rFonts w:ascii="仿宋_GB2312" w:hAnsi="仿宋_GB2312" w:eastAsia="仿宋_GB2312"/>
          <w:b w:val="0"/>
          <w:sz w:val="32"/>
        </w:rPr>
        <w:t>其中：基本支出1,297.03万元，占83.16%；项目支出262.67万元，占16.84%；上缴上级支出0.00万元，占0.00%；经营支出0.00万元，占0.00%；对附属单位补助支出0.00万元，占0.00%。</w:t>
      </w:r>
    </w:p>
    <w:p w14:paraId="4A48AB5D">
      <w:pPr>
        <w:spacing w:line="640" w:lineRule="exact"/>
        <w:ind w:firstLine="640"/>
        <w:jc w:val="both"/>
        <w:outlineLvl w:val="2"/>
      </w:pPr>
      <w:r>
        <w:rPr>
          <w:rFonts w:ascii="黑体" w:hAnsi="黑体" w:eastAsia="黑体"/>
          <w:sz w:val="32"/>
        </w:rPr>
        <w:t>四、财政拨款收入支出决算总体情况说明</w:t>
      </w:r>
    </w:p>
    <w:p w14:paraId="348F9668">
      <w:pPr>
        <w:spacing w:line="580" w:lineRule="exact"/>
        <w:ind w:firstLine="640"/>
        <w:jc w:val="both"/>
      </w:pPr>
      <w:r>
        <w:rPr>
          <w:rFonts w:ascii="仿宋_GB2312" w:hAnsi="仿宋_GB2312" w:eastAsia="仿宋_GB2312"/>
          <w:b/>
          <w:sz w:val="32"/>
        </w:rPr>
        <w:t>2024年度财政拨款收入总计1,559.68万元，</w:t>
      </w:r>
      <w:r>
        <w:rPr>
          <w:rFonts w:ascii="仿宋_GB2312" w:hAnsi="仿宋_GB2312" w:eastAsia="仿宋_GB2312"/>
          <w:b w:val="0"/>
          <w:sz w:val="32"/>
        </w:rPr>
        <w:t>其中：年初财政拨款结转和结余0.00万元，本年财政拨款收入1,559.68万元。</w:t>
      </w:r>
      <w:r>
        <w:rPr>
          <w:rFonts w:ascii="仿宋_GB2312" w:hAnsi="仿宋_GB2312" w:eastAsia="仿宋_GB2312"/>
          <w:b/>
          <w:sz w:val="32"/>
        </w:rPr>
        <w:t>财政拨款支出总计1,559.68万元，</w:t>
      </w:r>
      <w:r>
        <w:rPr>
          <w:rFonts w:ascii="仿宋_GB2312" w:hAnsi="仿宋_GB2312" w:eastAsia="仿宋_GB2312"/>
          <w:b w:val="0"/>
          <w:sz w:val="32"/>
        </w:rPr>
        <w:t>其中：年末财政拨款结转和结余0.00万元，本年财政拨款支出1,559.68万元。</w:t>
      </w:r>
    </w:p>
    <w:p w14:paraId="4548770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增加204.18万元，增长15.06%，主要原因是：本年在职人员增加，在职人员工资调增、社保、公积金基数调增，人员经费增加。本年增加2024年度农村学前三年免费教育保障经费项目资金，导致经费较上年增加。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年初预算数1,467.64万元，决算数1,559.68万元，预决算差异率6.27%，主要原因是：年中追加农村学前三年免费教育保障经费项目资金，导致预决算存在差异。</w:t>
      </w:r>
    </w:p>
    <w:p w14:paraId="45A134E9">
      <w:pPr>
        <w:spacing w:line="640" w:lineRule="exact"/>
        <w:ind w:firstLine="640"/>
        <w:jc w:val="both"/>
        <w:outlineLvl w:val="2"/>
      </w:pPr>
      <w:r>
        <w:rPr>
          <w:rFonts w:ascii="黑体" w:hAnsi="黑体" w:eastAsia="黑体"/>
          <w:sz w:val="32"/>
        </w:rPr>
        <w:t>五、一般公共预算财政拨款支出决算情况说明</w:t>
      </w:r>
    </w:p>
    <w:p w14:paraId="3B56858D">
      <w:pPr>
        <w:spacing w:line="640" w:lineRule="exact"/>
        <w:ind w:firstLine="640"/>
        <w:jc w:val="both"/>
        <w:outlineLvl w:val="3"/>
      </w:pPr>
      <w:r>
        <w:rPr>
          <w:rFonts w:ascii="楷体_GB2312" w:hAnsi="楷体_GB2312" w:eastAsia="楷体_GB2312"/>
          <w:b/>
          <w:sz w:val="32"/>
        </w:rPr>
        <w:t>（一）一般公共预算财政拨款支出决算总体情况</w:t>
      </w:r>
    </w:p>
    <w:p w14:paraId="0A08DD33">
      <w:pPr>
        <w:spacing w:line="580" w:lineRule="exact"/>
        <w:ind w:firstLine="640"/>
        <w:jc w:val="both"/>
      </w:pPr>
      <w:r>
        <w:rPr>
          <w:rFonts w:ascii="仿宋_GB2312" w:hAnsi="仿宋_GB2312" w:eastAsia="仿宋_GB2312"/>
          <w:b/>
          <w:sz w:val="32"/>
        </w:rPr>
        <w:t>2024年度一般公共预算财政拨款支出1,559.68万元，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增加204.18万元，增长15.06%，主要原因是：本年在职人员增加，在职人员工资调增、社保、公积金基数调增，人员经费增加。本年增加2024年度农村学前三年免费教育保障经费项目资金，导致经费较上年增加。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年初预算数1,467.64万元，决算数1,559.68万元，预决算差异率6.27%，主要原因是：年中追加农村学前三年免费教育保障经费项目资金，导致预决算存在差异。</w:t>
      </w:r>
    </w:p>
    <w:p w14:paraId="59A39283">
      <w:pPr>
        <w:spacing w:line="640" w:lineRule="exact"/>
        <w:ind w:firstLine="640"/>
        <w:jc w:val="both"/>
        <w:outlineLvl w:val="3"/>
      </w:pPr>
      <w:r>
        <w:rPr>
          <w:rFonts w:ascii="楷体_GB2312" w:hAnsi="楷体_GB2312" w:eastAsia="楷体_GB2312"/>
          <w:b/>
          <w:sz w:val="32"/>
        </w:rPr>
        <w:t>（二）一般公共预算财政拨款支出决算结构情况</w:t>
      </w:r>
    </w:p>
    <w:p w14:paraId="71269E33">
      <w:pPr>
        <w:spacing w:line="580" w:lineRule="exact"/>
        <w:ind w:firstLine="640"/>
        <w:jc w:val="both"/>
      </w:pPr>
      <w:r>
        <w:rPr>
          <w:rFonts w:ascii="仿宋_GB2312" w:hAnsi="仿宋_GB2312" w:eastAsia="仿宋_GB2312"/>
          <w:b w:val="0"/>
          <w:sz w:val="32"/>
        </w:rPr>
        <w:t>1.教育支出(类)1,058.70万元,占67.88%。</w:t>
      </w:r>
    </w:p>
    <w:p w14:paraId="64C6C519">
      <w:pPr>
        <w:spacing w:line="580" w:lineRule="exact"/>
        <w:ind w:firstLine="640"/>
        <w:jc w:val="both"/>
      </w:pPr>
      <w:r>
        <w:rPr>
          <w:rFonts w:ascii="仿宋_GB2312" w:hAnsi="仿宋_GB2312" w:eastAsia="仿宋_GB2312"/>
          <w:b w:val="0"/>
          <w:sz w:val="32"/>
        </w:rPr>
        <w:t>2.社会保障和就业支出(类)174.30万元,占11.18%。</w:t>
      </w:r>
    </w:p>
    <w:p w14:paraId="554114C1">
      <w:pPr>
        <w:spacing w:line="580" w:lineRule="exact"/>
        <w:ind w:firstLine="640"/>
        <w:jc w:val="both"/>
      </w:pPr>
      <w:r>
        <w:rPr>
          <w:rFonts w:ascii="仿宋_GB2312" w:hAnsi="仿宋_GB2312" w:eastAsia="仿宋_GB2312"/>
          <w:b w:val="0"/>
          <w:sz w:val="32"/>
        </w:rPr>
        <w:t>3.卫生健康支出(类)49.22万元,占3.16%。</w:t>
      </w:r>
    </w:p>
    <w:p w14:paraId="7DD2B450">
      <w:pPr>
        <w:spacing w:line="580" w:lineRule="exact"/>
        <w:ind w:firstLine="640"/>
        <w:jc w:val="both"/>
      </w:pPr>
      <w:r>
        <w:rPr>
          <w:rFonts w:ascii="仿宋_GB2312" w:hAnsi="仿宋_GB2312" w:eastAsia="仿宋_GB2312"/>
          <w:b w:val="0"/>
          <w:sz w:val="32"/>
        </w:rPr>
        <w:t>4.住房保障支出(类)97.33万元,占6.24%。</w:t>
      </w:r>
    </w:p>
    <w:p w14:paraId="5BA6E370">
      <w:pPr>
        <w:spacing w:line="580" w:lineRule="exact"/>
        <w:ind w:firstLine="640"/>
        <w:jc w:val="both"/>
      </w:pPr>
      <w:r>
        <w:rPr>
          <w:rFonts w:ascii="仿宋_GB2312" w:hAnsi="仿宋_GB2312" w:eastAsia="仿宋_GB2312"/>
          <w:b w:val="0"/>
          <w:sz w:val="32"/>
        </w:rPr>
        <w:t>5.其他支出(类)180.14万元,占11.55%。</w:t>
      </w:r>
    </w:p>
    <w:p w14:paraId="5A4F921D">
      <w:pPr>
        <w:spacing w:line="640" w:lineRule="exact"/>
        <w:ind w:firstLine="640"/>
        <w:jc w:val="both"/>
        <w:outlineLvl w:val="3"/>
      </w:pPr>
      <w:r>
        <w:rPr>
          <w:rFonts w:ascii="楷体_GB2312" w:hAnsi="楷体_GB2312" w:eastAsia="楷体_GB2312"/>
          <w:b/>
          <w:sz w:val="32"/>
        </w:rPr>
        <w:t>（三）一般公共预算财政拨款支出决算具体情况</w:t>
      </w:r>
    </w:p>
    <w:p w14:paraId="5C64F524">
      <w:pPr>
        <w:spacing w:line="580" w:lineRule="exact"/>
        <w:ind w:firstLine="640"/>
        <w:jc w:val="both"/>
      </w:pPr>
      <w:r>
        <w:rPr>
          <w:rFonts w:ascii="仿宋_GB2312" w:hAnsi="仿宋_GB2312" w:eastAsia="仿宋_GB2312"/>
          <w:b w:val="0"/>
          <w:sz w:val="32"/>
        </w:rPr>
        <w:t>1.教育支出(类)普通教育(款)学前教育(项):支出决算数为1,058.70万元，比上年决算减少35.59万元，下降3.25%,主要原因是：本年功能科目调整，聘用人员经费上年在学前教育科目列支，本年调整至其他支出科目列支，相关支出减少。</w:t>
      </w:r>
    </w:p>
    <w:p w14:paraId="3D4FB55B">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48.48万元，比上年决算增加6.79万元，增长16.29%,主要原因是：本年增加退休人员1人，退休死亡1人，退休费、抚恤金增加，相关支出增加。</w:t>
      </w:r>
    </w:p>
    <w:p w14:paraId="0DD2AE8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116.75万元，比上年决算增加23.84万元，增长25.66%,主要原因是：本年在职人员工资基数调增，养老缴费基数上涨，相应支出增加。</w:t>
      </w:r>
    </w:p>
    <w:p w14:paraId="35669A1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4.社会保障和就业支出(类)行政事业单位养老支出(款)机关事业单位职业年金缴费支出(项):支出决算数为9.07万元，比上年决算增加1.94万元，增长27.21%,主要原因是：本年新增退休人员，职业年金缴费支出增加。</w:t>
      </w:r>
    </w:p>
    <w:p w14:paraId="6D19D02C">
      <w:pPr>
        <w:spacing w:line="580" w:lineRule="exact"/>
        <w:ind w:firstLine="640"/>
        <w:jc w:val="both"/>
      </w:pPr>
      <w:r>
        <w:rPr>
          <w:rFonts w:ascii="仿宋_GB2312" w:hAnsi="仿宋_GB2312" w:eastAsia="仿宋_GB2312"/>
          <w:b w:val="0"/>
          <w:sz w:val="32"/>
        </w:rPr>
        <w:t>5.卫生健康支出(类)行政事业单位医疗(款)事业单位医疗(项):支出决算数为49.22万元，比上年决算增加6.96万元，增长16.47%,主要原因是：本年在职人员工资基数调增，医疗缴费基数上涨，相应支出增加。</w:t>
      </w:r>
    </w:p>
    <w:p w14:paraId="453AC16B">
      <w:pPr>
        <w:spacing w:line="580" w:lineRule="exact"/>
        <w:ind w:firstLine="640"/>
        <w:jc w:val="both"/>
      </w:pPr>
      <w:r>
        <w:rPr>
          <w:rFonts w:ascii="仿宋_GB2312" w:hAnsi="仿宋_GB2312" w:eastAsia="仿宋_GB2312"/>
          <w:b w:val="0"/>
          <w:sz w:val="32"/>
        </w:rPr>
        <w:t>6.住房保障支出(类)住房改革支出(款)住房公积金(项):支出决算数为97.33万元，比上年决算增加20.12万元，增长26.06%,主要原因是：本年在职人员工资基数调增，公积金缴费基数上涨，相应支出增加。</w:t>
      </w:r>
    </w:p>
    <w:p w14:paraId="6218A3BA">
      <w:pPr>
        <w:spacing w:line="580" w:lineRule="exact"/>
        <w:ind w:firstLine="640"/>
        <w:jc w:val="both"/>
      </w:pPr>
      <w:r>
        <w:rPr>
          <w:rFonts w:ascii="仿宋_GB2312" w:hAnsi="仿宋_GB2312" w:eastAsia="仿宋_GB2312"/>
          <w:b w:val="0"/>
          <w:sz w:val="32"/>
        </w:rPr>
        <w:t>7.其他支出(类)其他支出(款)其他支出(项):支出决算数为180.14万元，比上年决算增加180.14万元，增长100.00%,主要原因是：本年功能科目调整，聘用人员经费上年在学前教育科目列支，本年调整至其他支出科目列支，相关支出增加。</w:t>
      </w:r>
    </w:p>
    <w:p w14:paraId="0393971C">
      <w:pPr>
        <w:spacing w:line="640" w:lineRule="exact"/>
        <w:ind w:firstLine="640"/>
        <w:jc w:val="both"/>
        <w:outlineLvl w:val="2"/>
      </w:pPr>
      <w:r>
        <w:rPr>
          <w:rFonts w:ascii="黑体" w:hAnsi="黑体" w:eastAsia="黑体"/>
          <w:sz w:val="32"/>
        </w:rPr>
        <w:t>六、一般公共预算财政拨款基本支出决算情况说明</w:t>
      </w:r>
    </w:p>
    <w:p w14:paraId="57E1B420">
      <w:pPr>
        <w:spacing w:line="580" w:lineRule="exact"/>
        <w:ind w:firstLine="640"/>
        <w:jc w:val="both"/>
      </w:pPr>
      <w:r>
        <w:rPr>
          <w:rFonts w:ascii="仿宋_GB2312" w:hAnsi="仿宋_GB2312" w:eastAsia="仿宋_GB2312"/>
          <w:b w:val="0"/>
          <w:sz w:val="32"/>
        </w:rPr>
        <w:t>2024年度一般公共预算财政拨款基本支出1,297.03万元，其中：</w:t>
      </w:r>
      <w:r>
        <w:rPr>
          <w:rFonts w:ascii="仿宋_GB2312" w:hAnsi="仿宋_GB2312" w:eastAsia="仿宋_GB2312"/>
          <w:b/>
          <w:sz w:val="32"/>
        </w:rPr>
        <w:t>人员经费1,291.98万元，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医疗费补助、奖励金。</w:t>
      </w:r>
    </w:p>
    <w:p w14:paraId="1AEAECA8">
      <w:pPr>
        <w:spacing w:line="580" w:lineRule="exact"/>
        <w:ind w:firstLine="640"/>
        <w:jc w:val="both"/>
      </w:pPr>
      <w:r>
        <w:rPr>
          <w:rFonts w:ascii="仿宋_GB2312" w:hAnsi="仿宋_GB2312" w:eastAsia="仿宋_GB2312"/>
          <w:b/>
          <w:sz w:val="32"/>
        </w:rPr>
        <w:t>公用经费5.05万元，</w:t>
      </w:r>
      <w:r>
        <w:rPr>
          <w:rFonts w:ascii="仿宋_GB2312" w:hAnsi="仿宋_GB2312" w:eastAsia="仿宋_GB2312"/>
          <w:b w:val="0"/>
          <w:sz w:val="32"/>
        </w:rPr>
        <w:t>包括：工会经费。</w:t>
      </w:r>
    </w:p>
    <w:p w14:paraId="04766B2E">
      <w:pPr>
        <w:spacing w:line="640" w:lineRule="exact"/>
        <w:ind w:firstLine="640"/>
        <w:jc w:val="both"/>
        <w:outlineLvl w:val="2"/>
      </w:pPr>
      <w:r>
        <w:rPr>
          <w:rFonts w:ascii="黑体" w:hAnsi="黑体" w:eastAsia="黑体"/>
          <w:sz w:val="32"/>
        </w:rPr>
        <w:t>七、政府性基金预算财政拨款收入支出决算情况说明</w:t>
      </w:r>
    </w:p>
    <w:p w14:paraId="6655AD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1329D73">
      <w:pPr>
        <w:spacing w:line="640" w:lineRule="exact"/>
        <w:ind w:firstLine="640"/>
        <w:jc w:val="both"/>
        <w:outlineLvl w:val="2"/>
      </w:pPr>
      <w:r>
        <w:rPr>
          <w:rFonts w:ascii="黑体" w:hAnsi="黑体" w:eastAsia="黑体"/>
          <w:sz w:val="32"/>
        </w:rPr>
        <w:t>八、国有资本经营预算财政拨款收入支出决算情况说明</w:t>
      </w:r>
    </w:p>
    <w:p w14:paraId="58D35C4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B6214C">
      <w:pPr>
        <w:spacing w:line="640" w:lineRule="exact"/>
        <w:ind w:firstLine="640"/>
        <w:jc w:val="both"/>
        <w:outlineLvl w:val="2"/>
      </w:pPr>
      <w:r>
        <w:rPr>
          <w:rFonts w:ascii="黑体" w:hAnsi="黑体" w:eastAsia="黑体"/>
          <w:sz w:val="32"/>
        </w:rPr>
        <w:t>九、财政拨款“三公”经费支出决算情况说明</w:t>
      </w:r>
    </w:p>
    <w:p w14:paraId="3EDD385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4DEA16B">
      <w:pPr>
        <w:spacing w:line="580" w:lineRule="exact"/>
        <w:ind w:firstLine="640"/>
        <w:jc w:val="both"/>
      </w:pPr>
      <w:r>
        <w:rPr>
          <w:rFonts w:ascii="仿宋_GB2312" w:hAnsi="仿宋_GB2312" w:eastAsia="仿宋_GB2312"/>
          <w:b/>
          <w:sz w:val="32"/>
        </w:rPr>
        <w:t>具体情况如下：</w:t>
      </w:r>
    </w:p>
    <w:p w14:paraId="55A2E7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9A478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7E885E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2F8D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98A9397">
      <w:pPr>
        <w:spacing w:line="640" w:lineRule="exact"/>
        <w:ind w:firstLine="640"/>
        <w:jc w:val="both"/>
        <w:outlineLvl w:val="2"/>
      </w:pPr>
      <w:r>
        <w:rPr>
          <w:rFonts w:ascii="黑体" w:hAnsi="黑体" w:eastAsia="黑体"/>
          <w:sz w:val="32"/>
        </w:rPr>
        <w:t>十、其他重要事项的情况说明</w:t>
      </w:r>
    </w:p>
    <w:p w14:paraId="18256971">
      <w:pPr>
        <w:spacing w:line="640" w:lineRule="exact"/>
        <w:ind w:firstLine="640"/>
        <w:jc w:val="both"/>
        <w:outlineLvl w:val="3"/>
      </w:pPr>
      <w:r>
        <w:rPr>
          <w:rFonts w:ascii="楷体_GB2312" w:hAnsi="楷体_GB2312" w:eastAsia="楷体_GB2312"/>
          <w:b/>
          <w:sz w:val="32"/>
        </w:rPr>
        <w:t>（一）机关运行经费及公用经费支出情况</w:t>
      </w:r>
    </w:p>
    <w:p w14:paraId="6F270DFA">
      <w:pPr>
        <w:spacing w:line="580" w:lineRule="exact"/>
        <w:ind w:firstLine="640"/>
        <w:jc w:val="both"/>
      </w:pPr>
      <w:r>
        <w:rPr>
          <w:rFonts w:ascii="仿宋_GB2312" w:hAnsi="仿宋_GB2312" w:eastAsia="仿宋_GB2312"/>
          <w:b w:val="0"/>
          <w:sz w:val="32"/>
        </w:rPr>
        <w:t>2024年度托里县幼儿园（事业单位）公用经费支出5.05万元，比上年增加1.82万元，增长56.35%，主要原因是：本年增加工会经费，公用经费支出增加。</w:t>
      </w:r>
    </w:p>
    <w:p w14:paraId="09AE9E6B">
      <w:pPr>
        <w:spacing w:line="640" w:lineRule="exact"/>
        <w:ind w:firstLine="640"/>
        <w:jc w:val="both"/>
        <w:outlineLvl w:val="3"/>
      </w:pPr>
      <w:r>
        <w:rPr>
          <w:rFonts w:ascii="楷体_GB2312" w:hAnsi="楷体_GB2312" w:eastAsia="楷体_GB2312"/>
          <w:b/>
          <w:sz w:val="32"/>
        </w:rPr>
        <w:t>（二）政府采购情况</w:t>
      </w:r>
    </w:p>
    <w:p w14:paraId="04DA5FA6">
      <w:pPr>
        <w:spacing w:line="580" w:lineRule="exact"/>
        <w:ind w:firstLine="640"/>
        <w:jc w:val="both"/>
      </w:pPr>
      <w:r>
        <w:rPr>
          <w:rFonts w:ascii="仿宋_GB2312" w:hAnsi="仿宋_GB2312" w:eastAsia="仿宋_GB2312"/>
          <w:b w:val="0"/>
          <w:sz w:val="32"/>
        </w:rPr>
        <w:t>2024年度政府采购支出总额42.51万元，其中：政府采购货物支出23.44万元、政府采购工程支出0.00万元、政府采购服务支出19.06万元。</w:t>
      </w:r>
    </w:p>
    <w:p w14:paraId="426DE7BD">
      <w:pPr>
        <w:spacing w:line="580" w:lineRule="exact"/>
        <w:ind w:firstLine="640"/>
        <w:jc w:val="both"/>
      </w:pPr>
      <w:r>
        <w:rPr>
          <w:rFonts w:ascii="仿宋_GB2312" w:hAnsi="仿宋_GB2312" w:eastAsia="仿宋_GB2312"/>
          <w:b w:val="0"/>
          <w:sz w:val="32"/>
        </w:rPr>
        <w:t>授予中小企业合同金额42.51万元，占政府采购支出总额的100.00%，其中：授予小微企业合同金额42.51万元，占政府采购支出总额的100.00%。</w:t>
      </w:r>
    </w:p>
    <w:p w14:paraId="15EC4DAA">
      <w:pPr>
        <w:spacing w:line="640" w:lineRule="exact"/>
        <w:ind w:firstLine="640"/>
        <w:jc w:val="both"/>
        <w:outlineLvl w:val="3"/>
      </w:pPr>
      <w:r>
        <w:rPr>
          <w:rFonts w:ascii="楷体_GB2312" w:hAnsi="楷体_GB2312" w:eastAsia="楷体_GB2312"/>
          <w:b/>
          <w:sz w:val="32"/>
        </w:rPr>
        <w:t>（三）国有资产占用情况说明</w:t>
      </w:r>
    </w:p>
    <w:p w14:paraId="43B9D214">
      <w:pPr>
        <w:spacing w:line="580" w:lineRule="exact"/>
        <w:ind w:firstLine="640"/>
        <w:jc w:val="both"/>
      </w:pPr>
      <w:r>
        <w:rPr>
          <w:rFonts w:ascii="仿宋_GB2312" w:hAnsi="仿宋_GB2312" w:eastAsia="仿宋_GB2312"/>
          <w:b w:val="0"/>
          <w:sz w:val="32"/>
        </w:rPr>
        <w:t>截至2024年12月31日，房屋11,501.48平方米，价值2,911.00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5C1F9AE">
      <w:pPr>
        <w:spacing w:line="640" w:lineRule="exact"/>
        <w:ind w:firstLine="640"/>
        <w:jc w:val="both"/>
        <w:outlineLvl w:val="2"/>
      </w:pPr>
      <w:r>
        <w:rPr>
          <w:rFonts w:ascii="黑体" w:hAnsi="黑体" w:eastAsia="黑体"/>
          <w:sz w:val="32"/>
        </w:rPr>
        <w:t>十一、预算绩效的情况说明</w:t>
      </w:r>
    </w:p>
    <w:p w14:paraId="1258112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1,559.72万元，实际执行总额1,559.70万元；预算绩效评价项目1个，全年预算数262.65万元，全年执行数262.65万元。预算绩效管理取得的成效：农村学前三年免费教育覆盖率100%，项目完成及时率100%,不断改善幼儿园办学条件，有效提高学前教育普惠保障水平，幼儿家长满意度达</w:t>
      </w:r>
      <w:bookmarkStart w:id="0" w:name="_GoBack"/>
      <w:bookmarkEnd w:id="0"/>
      <w:r>
        <w:rPr>
          <w:rFonts w:ascii="仿宋_GB2312" w:hAnsi="仿宋_GB2312" w:eastAsia="仿宋_GB2312"/>
          <w:b w:val="0"/>
          <w:sz w:val="32"/>
        </w:rPr>
        <w:t>到98%；做好项目实施的跟踪检查工作。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发现的问题及原因：对预算执行的重视程度不够高，预算执行工作缺乏刚性，单位各部门之间的沟通不充分，不能更精确</w:t>
      </w:r>
      <w:r>
        <w:rPr>
          <w:rFonts w:hint="eastAsia" w:ascii="仿宋_GB2312" w:hAnsi="仿宋_GB2312" w:eastAsia="仿宋_GB2312"/>
          <w:b w:val="0"/>
          <w:sz w:val="32"/>
          <w:lang w:eastAsia="zh-CN"/>
        </w:rPr>
        <w:t>地</w:t>
      </w:r>
      <w:r>
        <w:rPr>
          <w:rFonts w:ascii="仿宋_GB2312" w:hAnsi="仿宋_GB2312" w:eastAsia="仿宋_GB2312"/>
          <w:b w:val="0"/>
          <w:sz w:val="32"/>
        </w:rPr>
        <w:t>进行预算，资金的使用需要进一步</w:t>
      </w:r>
      <w:r>
        <w:rPr>
          <w:rFonts w:hint="eastAsia" w:ascii="仿宋_GB2312" w:hAnsi="仿宋_GB2312" w:eastAsia="仿宋_GB2312"/>
          <w:b w:val="0"/>
          <w:sz w:val="32"/>
          <w:lang w:eastAsia="zh-CN"/>
        </w:rPr>
        <w:t>更好地</w:t>
      </w:r>
      <w:r>
        <w:rPr>
          <w:rFonts w:ascii="仿宋_GB2312" w:hAnsi="仿宋_GB2312" w:eastAsia="仿宋_GB2312"/>
          <w:b w:val="0"/>
          <w:sz w:val="32"/>
        </w:rPr>
        <w:t>与上级部门沟通。下一步改进措施：健全完善评价机制，切实加强组织领导，深入推进评价工作，提升项目绩效管理水平。加大绩效评价工作推进力度，加强绩效评价人员的培训，强化绩效评价人员业务知识，提高绩效评价工作质量。具体附整体支出绩效自评表，项目支出绩效自评表和评价报告。</w:t>
      </w:r>
    </w:p>
    <w:p w14:paraId="4B6D47AA">
      <w:r>
        <w:br w:type="page"/>
      </w:r>
    </w:p>
    <w:tbl>
      <w:tblPr>
        <w:tblStyle w:val="9"/>
        <w:tblW w:w="0" w:type="auto"/>
        <w:tblInd w:w="0" w:type="dxa"/>
        <w:tblLayout w:type="autofit"/>
        <w:tblCellMar>
          <w:top w:w="0" w:type="dxa"/>
          <w:left w:w="108" w:type="dxa"/>
          <w:bottom w:w="0" w:type="dxa"/>
          <w:right w:w="108" w:type="dxa"/>
        </w:tblCellMar>
      </w:tblPr>
      <w:tblGrid>
        <w:gridCol w:w="1105"/>
        <w:gridCol w:w="1003"/>
        <w:gridCol w:w="102"/>
        <w:gridCol w:w="1105"/>
        <w:gridCol w:w="1105"/>
        <w:gridCol w:w="1105"/>
        <w:gridCol w:w="1105"/>
        <w:gridCol w:w="1105"/>
        <w:gridCol w:w="1105"/>
      </w:tblGrid>
      <w:tr w14:paraId="6E9BCCD9">
        <w:tblPrEx>
          <w:tblCellMar>
            <w:top w:w="0" w:type="dxa"/>
            <w:left w:w="108" w:type="dxa"/>
            <w:bottom w:w="0" w:type="dxa"/>
            <w:right w:w="108" w:type="dxa"/>
          </w:tblCellMar>
        </w:tblPrEx>
        <w:tc>
          <w:tcPr>
            <w:tcW w:w="8840" w:type="dxa"/>
            <w:gridSpan w:val="9"/>
            <w:vAlign w:val="center"/>
          </w:tcPr>
          <w:p w14:paraId="34EBA397">
            <w:pPr>
              <w:jc w:val="center"/>
            </w:pPr>
            <w:r>
              <w:rPr>
                <w:rFonts w:ascii="宋体" w:hAnsi="宋体" w:eastAsia="宋体"/>
                <w:sz w:val="24"/>
              </w:rPr>
              <w:t>单位整体支出绩效自评表</w:t>
            </w:r>
          </w:p>
        </w:tc>
      </w:tr>
      <w:tr w14:paraId="51FB315D">
        <w:tblPrEx>
          <w:tblCellMar>
            <w:top w:w="0" w:type="dxa"/>
            <w:left w:w="108" w:type="dxa"/>
            <w:bottom w:w="0" w:type="dxa"/>
            <w:right w:w="108" w:type="dxa"/>
          </w:tblCellMar>
        </w:tblPrEx>
        <w:tc>
          <w:tcPr>
            <w:tcW w:w="8840" w:type="dxa"/>
            <w:gridSpan w:val="9"/>
            <w:vAlign w:val="center"/>
          </w:tcPr>
          <w:p w14:paraId="7436EACE">
            <w:pPr>
              <w:jc w:val="center"/>
            </w:pPr>
            <w:r>
              <w:rPr>
                <w:rFonts w:ascii="宋体" w:hAnsi="宋体" w:eastAsia="宋体"/>
                <w:sz w:val="24"/>
              </w:rPr>
              <w:t>（2024年度）</w:t>
            </w:r>
          </w:p>
        </w:tc>
      </w:tr>
      <w:tr w14:paraId="3E540A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35478">
            <w:pPr>
              <w:jc w:val="center"/>
            </w:pPr>
            <w:r>
              <w:rPr>
                <w:rFonts w:ascii="宋体" w:hAnsi="宋体" w:eastAsia="宋体"/>
                <w:sz w:val="16"/>
              </w:rPr>
              <w:t>单位名称</w:t>
            </w:r>
          </w:p>
        </w:tc>
        <w:tc>
          <w:tcPr>
            <w:tcW w:w="773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7DACA6">
            <w:pPr>
              <w:jc w:val="center"/>
            </w:pPr>
            <w:r>
              <w:rPr>
                <w:rFonts w:ascii="宋体" w:hAnsi="宋体" w:eastAsia="宋体"/>
                <w:sz w:val="16"/>
              </w:rPr>
              <w:t>托里县幼儿园</w:t>
            </w:r>
          </w:p>
        </w:tc>
      </w:tr>
      <w:tr w14:paraId="29D668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FA93F">
            <w:pPr>
              <w:jc w:val="center"/>
            </w:pPr>
            <w:r>
              <w:rPr>
                <w:rFonts w:ascii="宋体" w:hAnsi="宋体" w:eastAsia="宋体"/>
                <w:sz w:val="16"/>
              </w:rPr>
              <w:t>部门资金(万元)</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48D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D8AF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6CC9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4D20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FEB8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AB58E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A33B7">
            <w:pPr>
              <w:jc w:val="center"/>
            </w:pPr>
            <w:r>
              <w:rPr>
                <w:rFonts w:ascii="宋体" w:hAnsi="宋体" w:eastAsia="宋体"/>
                <w:sz w:val="16"/>
              </w:rPr>
              <w:t>得分</w:t>
            </w:r>
          </w:p>
        </w:tc>
      </w:tr>
      <w:tr w14:paraId="54A1173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E50A6D"/>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CCCB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8747A">
            <w:pPr>
              <w:jc w:val="center"/>
            </w:pPr>
            <w:r>
              <w:rPr>
                <w:rFonts w:ascii="宋体" w:hAnsi="宋体" w:eastAsia="宋体"/>
                <w:sz w:val="16"/>
              </w:rPr>
              <w:t>1,467.94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5F1FA">
            <w:pPr>
              <w:jc w:val="center"/>
            </w:pPr>
            <w:r>
              <w:rPr>
                <w:rFonts w:ascii="宋体" w:hAnsi="宋体" w:eastAsia="宋体"/>
                <w:sz w:val="16"/>
              </w:rPr>
              <w:t>1,559.72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92251">
            <w:pPr>
              <w:jc w:val="center"/>
            </w:pPr>
            <w:r>
              <w:rPr>
                <w:rFonts w:ascii="宋体" w:hAnsi="宋体" w:eastAsia="宋体"/>
                <w:sz w:val="16"/>
              </w:rPr>
              <w:t>1,559.70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9A34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A46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44BCD">
            <w:pPr>
              <w:jc w:val="center"/>
            </w:pPr>
            <w:r>
              <w:rPr>
                <w:rFonts w:ascii="宋体" w:hAnsi="宋体" w:eastAsia="宋体"/>
                <w:sz w:val="16"/>
              </w:rPr>
              <w:t>10</w:t>
            </w:r>
          </w:p>
        </w:tc>
      </w:tr>
      <w:tr w14:paraId="3EDF20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2603EC"/>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08544">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9ADDA1">
            <w:pPr>
              <w:jc w:val="center"/>
            </w:pPr>
            <w:r>
              <w:rPr>
                <w:rFonts w:ascii="宋体" w:hAnsi="宋体" w:eastAsia="宋体"/>
                <w:sz w:val="16"/>
              </w:rPr>
              <w:t>87.15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18902">
            <w:pPr>
              <w:jc w:val="center"/>
            </w:pPr>
            <w:r>
              <w:rPr>
                <w:rFonts w:ascii="宋体" w:hAnsi="宋体" w:eastAsia="宋体"/>
                <w:sz w:val="16"/>
              </w:rPr>
              <w:t>87.15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07186">
            <w:pPr>
              <w:jc w:val="center"/>
            </w:pPr>
            <w:r>
              <w:rPr>
                <w:rFonts w:ascii="宋体" w:hAnsi="宋体" w:eastAsia="宋体"/>
                <w:sz w:val="16"/>
              </w:rPr>
              <w:t>87.15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E67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32C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C192E">
            <w:pPr>
              <w:jc w:val="center"/>
            </w:pPr>
            <w:r>
              <w:rPr>
                <w:rFonts w:ascii="宋体" w:hAnsi="宋体" w:eastAsia="宋体"/>
                <w:sz w:val="16"/>
              </w:rPr>
              <w:t>-</w:t>
            </w:r>
          </w:p>
        </w:tc>
      </w:tr>
      <w:tr w14:paraId="7C509B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A69E17"/>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B90FC">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72D14">
            <w:pPr>
              <w:jc w:val="center"/>
            </w:pPr>
            <w:r>
              <w:rPr>
                <w:rFonts w:ascii="宋体" w:hAnsi="宋体" w:eastAsia="宋体"/>
                <w:sz w:val="16"/>
              </w:rPr>
              <w:t>1,380.49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F7BA1">
            <w:pPr>
              <w:jc w:val="center"/>
            </w:pPr>
            <w:r>
              <w:rPr>
                <w:rFonts w:ascii="宋体" w:hAnsi="宋体" w:eastAsia="宋体"/>
                <w:sz w:val="16"/>
              </w:rPr>
              <w:t>1,472.53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F88EE">
            <w:pPr>
              <w:jc w:val="center"/>
            </w:pPr>
            <w:r>
              <w:rPr>
                <w:rFonts w:ascii="宋体" w:hAnsi="宋体" w:eastAsia="宋体"/>
                <w:sz w:val="16"/>
              </w:rPr>
              <w:t>1,472.53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9FA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0BE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CCA2C">
            <w:pPr>
              <w:jc w:val="center"/>
            </w:pPr>
            <w:r>
              <w:rPr>
                <w:rFonts w:ascii="宋体" w:hAnsi="宋体" w:eastAsia="宋体"/>
                <w:sz w:val="16"/>
              </w:rPr>
              <w:t>-</w:t>
            </w:r>
          </w:p>
        </w:tc>
      </w:tr>
      <w:tr w14:paraId="708498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09E2C2"/>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7E47">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758DA">
            <w:pPr>
              <w:jc w:val="center"/>
            </w:pPr>
            <w:r>
              <w:rPr>
                <w:rFonts w:ascii="宋体" w:hAnsi="宋体" w:eastAsia="宋体"/>
                <w:sz w:val="16"/>
              </w:rPr>
              <w:t>0.30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11C01">
            <w:pPr>
              <w:jc w:val="center"/>
            </w:pPr>
            <w:r>
              <w:rPr>
                <w:rFonts w:ascii="宋体" w:hAnsi="宋体" w:eastAsia="宋体"/>
                <w:sz w:val="16"/>
              </w:rPr>
              <w:t>0.04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3079A">
            <w:pPr>
              <w:jc w:val="center"/>
            </w:pPr>
            <w:r>
              <w:rPr>
                <w:rFonts w:ascii="宋体" w:hAnsi="宋体" w:eastAsia="宋体"/>
                <w:sz w:val="16"/>
              </w:rPr>
              <w:t>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F142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712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41B41">
            <w:pPr>
              <w:jc w:val="center"/>
            </w:pPr>
            <w:r>
              <w:rPr>
                <w:rFonts w:ascii="宋体" w:hAnsi="宋体" w:eastAsia="宋体"/>
                <w:sz w:val="16"/>
              </w:rPr>
              <w:t>-</w:t>
            </w:r>
          </w:p>
        </w:tc>
      </w:tr>
      <w:tr w14:paraId="375CAF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18B95">
            <w:pPr>
              <w:jc w:val="center"/>
            </w:pPr>
            <w:r>
              <w:rPr>
                <w:rFonts w:ascii="宋体" w:hAnsi="宋体" w:eastAsia="宋体"/>
                <w:sz w:val="16"/>
              </w:rPr>
              <w:t>年度总目标</w:t>
            </w:r>
          </w:p>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481611">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D42AF2">
            <w:pPr>
              <w:jc w:val="center"/>
            </w:pPr>
            <w:r>
              <w:rPr>
                <w:rFonts w:ascii="宋体" w:hAnsi="宋体" w:eastAsia="宋体"/>
                <w:sz w:val="16"/>
              </w:rPr>
              <w:t>实际完成情况</w:t>
            </w:r>
          </w:p>
        </w:tc>
      </w:tr>
      <w:tr w14:paraId="428B42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AD968A"/>
        </w:tc>
        <w:tc>
          <w:tcPr>
            <w:tcW w:w="442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9DE4A">
            <w:pPr>
              <w:jc w:val="both"/>
            </w:pPr>
            <w:r>
              <w:rPr>
                <w:rFonts w:ascii="宋体" w:hAnsi="宋体" w:eastAsia="宋体"/>
                <w:sz w:val="16"/>
              </w:rPr>
              <w:t>坚持以习近平新时代中国特色社会主义思想为指导，深入贯彻党的二十大精神，贯彻落实中央、自治区党委决策部署的各项重大工作决定和安排，充分发挥教育经费保障教育发展、推动教育改革、推进教育公平、提高教育质量的政策引领作用，保障党组确定的国语教育教学全覆盖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市县扩大学前教育资源，提高公用经费保障水平；完善城乡义务教育经费保障机制，保障幼儿正常运转，保证学校校舍安全。学前教育享受资助补助政策学生数达到767人，农村学前三年免费教育覆盖率达到100%，专任教师培训人次达到45人次。</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80DCA9">
            <w:pPr>
              <w:jc w:val="both"/>
            </w:pPr>
            <w:r>
              <w:rPr>
                <w:rFonts w:ascii="宋体" w:hAnsi="宋体" w:eastAsia="宋体"/>
                <w:sz w:val="16"/>
              </w:rPr>
              <w:t>农村学前三年免费教育保障机制补助项目预算资金262.65万元，</w:t>
            </w:r>
            <w:r>
              <w:rPr>
                <w:rFonts w:hint="eastAsia" w:ascii="宋体" w:hAnsi="宋体"/>
                <w:sz w:val="16"/>
                <w:lang w:eastAsia="zh-CN"/>
              </w:rPr>
              <w:t>截至2024</w:t>
            </w:r>
            <w:r>
              <w:rPr>
                <w:rFonts w:ascii="宋体" w:hAnsi="宋体" w:eastAsia="宋体"/>
                <w:sz w:val="16"/>
              </w:rPr>
              <w:t>年12月31日，已经支付262.65万元，项目按照计划正常实行，确保学前教育保教工作正常有序开展，3-6岁幼儿免费受学前教育，保障受补助学生基本生活，保障幼儿伙食补助的按时发放 ，保障饮食安全，改善学生的营养状况</w:t>
            </w:r>
            <w:r>
              <w:rPr>
                <w:rFonts w:hint="eastAsia" w:ascii="宋体" w:hAnsi="宋体"/>
                <w:sz w:val="16"/>
                <w:lang w:eastAsia="zh-CN"/>
              </w:rPr>
              <w:t>，让</w:t>
            </w:r>
            <w:r>
              <w:rPr>
                <w:rFonts w:ascii="宋体" w:hAnsi="宋体" w:eastAsia="宋体"/>
                <w:sz w:val="16"/>
              </w:rPr>
              <w:t>农村适龄幼儿接受学前免费教育得以保障，改善幼儿园办学条件，巩固学前国语教育覆盖率，不断改善幼儿园办学条件，有效提高学前教育普惠保障水平，持续扩大普惠性学前教育资源，农村幼儿及家长满意度95%。</w:t>
            </w:r>
          </w:p>
        </w:tc>
      </w:tr>
      <w:tr w14:paraId="1A545CE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06F38">
            <w:pPr>
              <w:jc w:val="center"/>
            </w:pPr>
            <w:r>
              <w:rPr>
                <w:rFonts w:ascii="宋体" w:hAnsi="宋体" w:eastAsia="宋体"/>
                <w:sz w:val="16"/>
              </w:rPr>
              <w:t>一级指标</w:t>
            </w:r>
          </w:p>
        </w:tc>
        <w:tc>
          <w:tcPr>
            <w:tcW w:w="1003" w:type="dxa"/>
            <w:tcBorders>
              <w:top w:val="single" w:color="auto" w:sz="10" w:space="0"/>
              <w:left w:val="single" w:color="auto" w:sz="10" w:space="0"/>
              <w:bottom w:val="single" w:color="auto" w:sz="10" w:space="0"/>
              <w:right w:val="single" w:color="auto" w:sz="10" w:space="0"/>
              <w:insideV w:val="single" w:sz="10" w:space="0"/>
            </w:tcBorders>
            <w:vAlign w:val="center"/>
          </w:tcPr>
          <w:p w14:paraId="017B77C1">
            <w:pPr>
              <w:jc w:val="center"/>
            </w:pPr>
            <w:r>
              <w:rPr>
                <w:rFonts w:ascii="宋体" w:hAnsi="宋体" w:eastAsia="宋体"/>
                <w:sz w:val="16"/>
              </w:rPr>
              <w:t>二级指标</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5F91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AE4A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88032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6532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7970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A4107">
            <w:pPr>
              <w:jc w:val="center"/>
            </w:pPr>
            <w:r>
              <w:rPr>
                <w:rFonts w:ascii="宋体" w:hAnsi="宋体" w:eastAsia="宋体"/>
                <w:sz w:val="16"/>
              </w:rPr>
              <w:t>得分</w:t>
            </w:r>
          </w:p>
        </w:tc>
      </w:tr>
      <w:tr w14:paraId="346AA3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DB074">
            <w:pPr>
              <w:jc w:val="center"/>
            </w:pPr>
            <w:r>
              <w:rPr>
                <w:rFonts w:ascii="宋体" w:hAnsi="宋体" w:eastAsia="宋体"/>
                <w:sz w:val="16"/>
              </w:rPr>
              <w:t>履职效能</w:t>
            </w:r>
          </w:p>
        </w:tc>
        <w:tc>
          <w:tcPr>
            <w:tcW w:w="10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95089">
            <w:pPr>
              <w:jc w:val="center"/>
            </w:pPr>
            <w:r>
              <w:rPr>
                <w:rFonts w:ascii="宋体" w:hAnsi="宋体" w:eastAsia="宋体"/>
                <w:sz w:val="16"/>
              </w:rPr>
              <w:t>数量指标</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C7834">
            <w:pPr>
              <w:jc w:val="center"/>
            </w:pPr>
            <w:r>
              <w:rPr>
                <w:rFonts w:ascii="宋体" w:hAnsi="宋体" w:eastAsia="宋体"/>
                <w:sz w:val="16"/>
              </w:rPr>
              <w:t>学前教育享受资助补助政策学生数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D3C24">
            <w:pPr>
              <w:jc w:val="center"/>
            </w:pPr>
            <w:r>
              <w:rPr>
                <w:rFonts w:ascii="宋体" w:hAnsi="宋体" w:eastAsia="宋体"/>
                <w:sz w:val="16"/>
              </w:rPr>
              <w:t>&gt;=767人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49759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55AB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C94A6">
            <w:pPr>
              <w:jc w:val="center"/>
            </w:pPr>
            <w:r>
              <w:rPr>
                <w:rFonts w:ascii="宋体" w:hAnsi="宋体" w:eastAsia="宋体"/>
                <w:sz w:val="16"/>
              </w:rPr>
              <w:t>767人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4CC5E">
            <w:pPr>
              <w:jc w:val="center"/>
            </w:pPr>
            <w:r>
              <w:rPr>
                <w:rFonts w:ascii="宋体" w:hAnsi="宋体" w:eastAsia="宋体"/>
                <w:sz w:val="16"/>
              </w:rPr>
              <w:t>15</w:t>
            </w:r>
          </w:p>
        </w:tc>
      </w:tr>
      <w:tr w14:paraId="70ED6F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9E04ED"/>
        </w:tc>
        <w:tc>
          <w:tcPr>
            <w:tcW w:w="1003" w:type="dxa"/>
            <w:vMerge w:val="continue"/>
            <w:tcBorders>
              <w:top w:val="single" w:color="auto" w:sz="10" w:space="0"/>
              <w:left w:val="single" w:color="auto" w:sz="10" w:space="0"/>
              <w:bottom w:val="single" w:color="auto" w:sz="10" w:space="0"/>
              <w:right w:val="single" w:color="auto" w:sz="10" w:space="0"/>
              <w:insideV w:val="single" w:sz="10" w:space="0"/>
            </w:tcBorders>
          </w:tcPr>
          <w:p w14:paraId="3E65DD9F"/>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97ECF">
            <w:pPr>
              <w:jc w:val="center"/>
            </w:pPr>
            <w:r>
              <w:rPr>
                <w:rFonts w:ascii="宋体" w:hAnsi="宋体" w:eastAsia="宋体"/>
                <w:sz w:val="16"/>
              </w:rPr>
              <w:t>专任教师培训人次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4D96F">
            <w:pPr>
              <w:jc w:val="center"/>
            </w:pPr>
            <w:r>
              <w:rPr>
                <w:rFonts w:ascii="宋体" w:hAnsi="宋体" w:eastAsia="宋体"/>
                <w:sz w:val="16"/>
              </w:rPr>
              <w:t>&gt;=45人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0E5C0">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A0EA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26907">
            <w:pPr>
              <w:jc w:val="center"/>
            </w:pPr>
            <w:r>
              <w:rPr>
                <w:rFonts w:ascii="宋体" w:hAnsi="宋体" w:eastAsia="宋体"/>
                <w:sz w:val="16"/>
              </w:rPr>
              <w:t>45人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6B92D">
            <w:pPr>
              <w:jc w:val="center"/>
            </w:pPr>
            <w:r>
              <w:rPr>
                <w:rFonts w:ascii="宋体" w:hAnsi="宋体" w:eastAsia="宋体"/>
                <w:sz w:val="16"/>
              </w:rPr>
              <w:t>15</w:t>
            </w:r>
          </w:p>
        </w:tc>
      </w:tr>
      <w:tr w14:paraId="0EC999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96B433"/>
        </w:tc>
        <w:tc>
          <w:tcPr>
            <w:tcW w:w="10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015F2">
            <w:pPr>
              <w:jc w:val="center"/>
            </w:pPr>
            <w:r>
              <w:rPr>
                <w:rFonts w:ascii="宋体" w:hAnsi="宋体" w:eastAsia="宋体"/>
                <w:sz w:val="16"/>
              </w:rPr>
              <w:t>质量指标</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1834">
            <w:pPr>
              <w:jc w:val="center"/>
            </w:pPr>
            <w:r>
              <w:rPr>
                <w:rFonts w:ascii="宋体" w:hAnsi="宋体" w:eastAsia="宋体"/>
                <w:sz w:val="16"/>
              </w:rPr>
              <w:t>农村学前三年免费教育覆盖率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6C79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4E0F46">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B90BA">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AD6D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8BCDB">
            <w:pPr>
              <w:jc w:val="center"/>
            </w:pPr>
            <w:r>
              <w:rPr>
                <w:rFonts w:ascii="宋体" w:hAnsi="宋体" w:eastAsia="宋体"/>
                <w:sz w:val="16"/>
              </w:rPr>
              <w:t>20</w:t>
            </w:r>
          </w:p>
        </w:tc>
      </w:tr>
      <w:tr w14:paraId="2F502F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06447D"/>
        </w:tc>
        <w:tc>
          <w:tcPr>
            <w:tcW w:w="1003" w:type="dxa"/>
            <w:vMerge w:val="continue"/>
            <w:tcBorders>
              <w:top w:val="single" w:color="auto" w:sz="10" w:space="0"/>
              <w:left w:val="single" w:color="auto" w:sz="10" w:space="0"/>
              <w:bottom w:val="single" w:color="auto" w:sz="10" w:space="0"/>
              <w:right w:val="single" w:color="auto" w:sz="10" w:space="0"/>
              <w:insideV w:val="single" w:sz="10" w:space="0"/>
            </w:tcBorders>
          </w:tcPr>
          <w:p w14:paraId="45C6A3E6"/>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DB1F">
            <w:pPr>
              <w:jc w:val="center"/>
            </w:pPr>
            <w:r>
              <w:rPr>
                <w:rFonts w:ascii="宋体" w:hAnsi="宋体" w:eastAsia="宋体"/>
                <w:sz w:val="16"/>
              </w:rPr>
              <w:t>适龄幼儿接受学前免费教育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A83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047F7">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1B8F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6896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D5A93">
            <w:pPr>
              <w:jc w:val="center"/>
            </w:pPr>
            <w:r>
              <w:rPr>
                <w:rFonts w:ascii="宋体" w:hAnsi="宋体" w:eastAsia="宋体"/>
                <w:sz w:val="16"/>
              </w:rPr>
              <w:t>20</w:t>
            </w:r>
          </w:p>
        </w:tc>
      </w:tr>
      <w:tr w14:paraId="53FADD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3C4082"/>
        </w:tc>
        <w:tc>
          <w:tcPr>
            <w:tcW w:w="1003" w:type="dxa"/>
            <w:vMerge w:val="continue"/>
            <w:tcBorders>
              <w:top w:val="single" w:color="auto" w:sz="10" w:space="0"/>
              <w:left w:val="single" w:color="auto" w:sz="10" w:space="0"/>
              <w:bottom w:val="single" w:color="auto" w:sz="10" w:space="0"/>
              <w:right w:val="single" w:color="auto" w:sz="10" w:space="0"/>
              <w:insideV w:val="single" w:sz="10" w:space="0"/>
            </w:tcBorders>
          </w:tcPr>
          <w:p w14:paraId="0CE19388"/>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8B6C">
            <w:pPr>
              <w:jc w:val="center"/>
            </w:pPr>
            <w:r>
              <w:rPr>
                <w:rFonts w:ascii="宋体" w:hAnsi="宋体" w:eastAsia="宋体"/>
                <w:sz w:val="16"/>
              </w:rPr>
              <w:t>学前教育毛入学率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33A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D141A">
            <w:pPr>
              <w:jc w:val="center"/>
            </w:pPr>
            <w:r>
              <w:rPr>
                <w:rFonts w:ascii="宋体" w:hAnsi="宋体" w:eastAsia="宋体"/>
                <w:sz w:val="16"/>
              </w:rPr>
              <w:t>2024年学校计划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474F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8F015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F9D1D">
            <w:pPr>
              <w:jc w:val="center"/>
            </w:pPr>
            <w:r>
              <w:rPr>
                <w:rFonts w:ascii="宋体" w:hAnsi="宋体" w:eastAsia="宋体"/>
                <w:sz w:val="16"/>
              </w:rPr>
              <w:t>20</w:t>
            </w:r>
          </w:p>
        </w:tc>
      </w:tr>
    </w:tbl>
    <w:p w14:paraId="525CEAFB">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856"/>
        <w:gridCol w:w="592"/>
        <w:gridCol w:w="696"/>
        <w:gridCol w:w="605"/>
        <w:gridCol w:w="592"/>
        <w:gridCol w:w="605"/>
        <w:gridCol w:w="776"/>
        <w:gridCol w:w="617"/>
        <w:gridCol w:w="697"/>
        <w:gridCol w:w="631"/>
      </w:tblGrid>
      <w:tr w14:paraId="04424719">
        <w:tblPrEx>
          <w:tblCellMar>
            <w:top w:w="0" w:type="dxa"/>
            <w:left w:w="108" w:type="dxa"/>
            <w:bottom w:w="0" w:type="dxa"/>
            <w:right w:w="108" w:type="dxa"/>
          </w:tblCellMar>
        </w:tblPrEx>
        <w:tc>
          <w:tcPr>
            <w:tcW w:w="8848" w:type="dxa"/>
            <w:gridSpan w:val="14"/>
            <w:vAlign w:val="center"/>
          </w:tcPr>
          <w:p w14:paraId="6E83AD1A">
            <w:pPr>
              <w:jc w:val="center"/>
            </w:pPr>
            <w:r>
              <w:rPr>
                <w:rFonts w:ascii="宋体" w:hAnsi="宋体" w:eastAsia="宋体"/>
                <w:sz w:val="24"/>
              </w:rPr>
              <w:t>项目支出绩效自评表</w:t>
            </w:r>
          </w:p>
        </w:tc>
      </w:tr>
      <w:tr w14:paraId="14D9A342">
        <w:tblPrEx>
          <w:tblCellMar>
            <w:top w:w="0" w:type="dxa"/>
            <w:left w:w="108" w:type="dxa"/>
            <w:bottom w:w="0" w:type="dxa"/>
            <w:right w:w="108" w:type="dxa"/>
          </w:tblCellMar>
        </w:tblPrEx>
        <w:tc>
          <w:tcPr>
            <w:tcW w:w="8848" w:type="dxa"/>
            <w:gridSpan w:val="14"/>
            <w:vAlign w:val="center"/>
          </w:tcPr>
          <w:p w14:paraId="1D6761F1">
            <w:pPr>
              <w:jc w:val="center"/>
            </w:pPr>
            <w:r>
              <w:rPr>
                <w:rFonts w:ascii="宋体" w:hAnsi="宋体" w:eastAsia="宋体"/>
                <w:sz w:val="24"/>
              </w:rPr>
              <w:t>(2024年度)</w:t>
            </w:r>
          </w:p>
        </w:tc>
      </w:tr>
      <w:tr w14:paraId="5DE1C3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80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8F0BD6">
            <w:pPr>
              <w:jc w:val="center"/>
            </w:pPr>
            <w:r>
              <w:rPr>
                <w:rFonts w:ascii="宋体" w:hAnsi="宋体" w:eastAsia="宋体"/>
                <w:sz w:val="16"/>
              </w:rPr>
              <w:t>托里县幼儿园2024年度农村学前三年免费教育保障经费项目</w:t>
            </w:r>
          </w:p>
        </w:tc>
      </w:tr>
      <w:tr w14:paraId="3A45CF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648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568C2">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7D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26A56D">
            <w:pPr>
              <w:jc w:val="center"/>
            </w:pPr>
            <w:r>
              <w:rPr>
                <w:rFonts w:ascii="宋体" w:hAnsi="宋体" w:eastAsia="宋体"/>
                <w:sz w:val="16"/>
              </w:rPr>
              <w:t>托里县幼儿园</w:t>
            </w:r>
          </w:p>
        </w:tc>
      </w:tr>
      <w:tr w14:paraId="06ACE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BBC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F75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5D79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195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71A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C1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13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3787">
            <w:pPr>
              <w:jc w:val="center"/>
            </w:pPr>
            <w:r>
              <w:rPr>
                <w:rFonts w:ascii="宋体" w:hAnsi="宋体" w:eastAsia="宋体"/>
                <w:sz w:val="16"/>
              </w:rPr>
              <w:t>得分</w:t>
            </w:r>
          </w:p>
        </w:tc>
      </w:tr>
      <w:tr w14:paraId="6761B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BD6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B8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9C40">
            <w:pPr>
              <w:jc w:val="center"/>
            </w:pPr>
            <w:r>
              <w:rPr>
                <w:rFonts w:ascii="宋体" w:hAnsi="宋体" w:eastAsia="宋体"/>
                <w:sz w:val="16"/>
              </w:rPr>
              <w:t>221.68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82F31">
            <w:pPr>
              <w:jc w:val="center"/>
            </w:pPr>
            <w:r>
              <w:rPr>
                <w:rFonts w:ascii="宋体" w:hAnsi="宋体" w:eastAsia="宋体"/>
                <w:sz w:val="16"/>
              </w:rPr>
              <w:t>262.65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EE64">
            <w:pPr>
              <w:jc w:val="center"/>
            </w:pPr>
            <w:r>
              <w:rPr>
                <w:rFonts w:ascii="宋体" w:hAnsi="宋体" w:eastAsia="宋体"/>
                <w:sz w:val="16"/>
              </w:rPr>
              <w:t>262.65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998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11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7180">
            <w:pPr>
              <w:jc w:val="center"/>
            </w:pPr>
            <w:r>
              <w:rPr>
                <w:rFonts w:ascii="宋体" w:hAnsi="宋体" w:eastAsia="宋体"/>
                <w:sz w:val="16"/>
              </w:rPr>
              <w:t>10.00</w:t>
            </w:r>
          </w:p>
        </w:tc>
      </w:tr>
      <w:tr w14:paraId="00CA1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96D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CD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C6B7C">
            <w:pPr>
              <w:jc w:val="center"/>
            </w:pPr>
            <w:r>
              <w:rPr>
                <w:rFonts w:ascii="宋体" w:hAnsi="宋体" w:eastAsia="宋体"/>
                <w:sz w:val="16"/>
              </w:rPr>
              <w:t>221.68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AE824">
            <w:pPr>
              <w:jc w:val="center"/>
            </w:pPr>
            <w:r>
              <w:rPr>
                <w:rFonts w:ascii="宋体" w:hAnsi="宋体" w:eastAsia="宋体"/>
                <w:sz w:val="16"/>
              </w:rPr>
              <w:t>262.65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739A5">
            <w:pPr>
              <w:jc w:val="center"/>
            </w:pPr>
            <w:r>
              <w:rPr>
                <w:rFonts w:ascii="宋体" w:hAnsi="宋体" w:eastAsia="宋体"/>
                <w:sz w:val="16"/>
              </w:rPr>
              <w:t>262.65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F38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22B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36D0">
            <w:pPr>
              <w:jc w:val="center"/>
            </w:pPr>
            <w:r>
              <w:rPr>
                <w:rFonts w:ascii="宋体" w:hAnsi="宋体" w:eastAsia="宋体"/>
                <w:sz w:val="16"/>
              </w:rPr>
              <w:t>—</w:t>
            </w:r>
          </w:p>
        </w:tc>
      </w:tr>
      <w:tr w14:paraId="1FA86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89B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56D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A0F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5E4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41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8B6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0C4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BA2A">
            <w:pPr>
              <w:jc w:val="center"/>
            </w:pPr>
            <w:r>
              <w:rPr>
                <w:rFonts w:ascii="宋体" w:hAnsi="宋体" w:eastAsia="宋体"/>
                <w:sz w:val="16"/>
              </w:rPr>
              <w:t>—</w:t>
            </w:r>
          </w:p>
        </w:tc>
      </w:tr>
      <w:tr w14:paraId="07D9C4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5DD4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C3F58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BEF97">
            <w:pPr>
              <w:jc w:val="center"/>
            </w:pPr>
            <w:r>
              <w:rPr>
                <w:rFonts w:ascii="宋体" w:hAnsi="宋体" w:eastAsia="宋体"/>
                <w:sz w:val="16"/>
              </w:rPr>
              <w:t>实际完成情况</w:t>
            </w:r>
          </w:p>
        </w:tc>
      </w:tr>
      <w:tr w14:paraId="71592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BBB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101DE3">
            <w:pPr>
              <w:jc w:val="both"/>
            </w:pPr>
            <w:r>
              <w:rPr>
                <w:rFonts w:ascii="宋体" w:hAnsi="宋体" w:eastAsia="宋体"/>
                <w:sz w:val="16"/>
              </w:rPr>
              <w:t>托里县幼儿园农村学前三年免费教育保障机制补助项目262.65万元，其中：保教费83.53万元，保障农村学前三年适龄幼儿人数767人，取暖费7.36万元，幼儿伙食补助171.76万元。农村学前三年免费教育覆盖率100%，项目完成及时率100%,不断改善幼儿园办学条件，有效提高学前教育普惠保障水平，幼儿家长满意度达到98%。</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6E1116">
            <w:pPr>
              <w:jc w:val="both"/>
            </w:pPr>
            <w:r>
              <w:rPr>
                <w:rFonts w:ascii="宋体" w:hAnsi="宋体" w:eastAsia="宋体"/>
                <w:sz w:val="16"/>
              </w:rPr>
              <w:t>农村学前三年免费教育保障机制补助项目预算资金262.65万元，</w:t>
            </w:r>
            <w:r>
              <w:rPr>
                <w:rFonts w:hint="eastAsia" w:ascii="宋体" w:hAnsi="宋体"/>
                <w:sz w:val="16"/>
                <w:lang w:eastAsia="zh-CN"/>
              </w:rPr>
              <w:t>截至2024</w:t>
            </w:r>
            <w:r>
              <w:rPr>
                <w:rFonts w:ascii="宋体" w:hAnsi="宋体" w:eastAsia="宋体"/>
                <w:sz w:val="16"/>
              </w:rPr>
              <w:t>年12月31日，已经支付262.65万元，项目按照计划正常实行，确保学前教育保教工作正常有序开展，3-6岁幼儿免费受学前教育，保障受补助学生基本生活，保障幼儿伙食补助的按时发放 ，保障饮食安全，改善学生的营养状况，农村适龄幼儿接受学前免费教育得以保障，改善幼儿园办学条件，巩固学前国语教育覆盖率，不断改善幼儿园办学条件，有效提高学前教育普惠保障水平，持续扩大普惠性学前教育资源，农村幼儿及家长满意度95%。</w:t>
            </w:r>
          </w:p>
        </w:tc>
      </w:tr>
      <w:tr w14:paraId="76EDC8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DFA7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BC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A1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85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D0E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BE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26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76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772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E1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FC7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EB0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384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6331">
            <w:pPr>
              <w:jc w:val="center"/>
            </w:pPr>
            <w:r>
              <w:rPr>
                <w:rFonts w:ascii="宋体" w:hAnsi="宋体" w:eastAsia="宋体"/>
                <w:sz w:val="16"/>
              </w:rPr>
              <w:t>偏差原因分析及改进措施</w:t>
            </w:r>
          </w:p>
        </w:tc>
      </w:tr>
      <w:tr w14:paraId="7531B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7455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2BC0B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8D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0D74">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6BB3">
            <w:pPr>
              <w:jc w:val="center"/>
            </w:pPr>
            <w:r>
              <w:rPr>
                <w:rFonts w:ascii="宋体" w:hAnsi="宋体" w:eastAsia="宋体"/>
                <w:sz w:val="16"/>
              </w:rPr>
              <w:t>&gt;=767人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C7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3239">
            <w:pPr>
              <w:jc w:val="center"/>
            </w:pPr>
            <w:r>
              <w:rPr>
                <w:rFonts w:ascii="宋体" w:hAnsi="宋体" w:eastAsia="宋体"/>
                <w:sz w:val="16"/>
              </w:rPr>
              <w:t>787人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100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CC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6AF6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B0A3">
            <w:pPr>
              <w:jc w:val="center"/>
            </w:pPr>
            <w:r>
              <w:rPr>
                <w:rFonts w:ascii="宋体" w:hAnsi="宋体" w:eastAsia="宋体"/>
                <w:sz w:val="16"/>
              </w:rPr>
              <w:t>=767人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B4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D1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6B4A">
            <w:pPr>
              <w:jc w:val="center"/>
            </w:pPr>
          </w:p>
        </w:tc>
      </w:tr>
      <w:tr w14:paraId="44537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8F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528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439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EEB4">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5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1B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7C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D0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A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54B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4B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C0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67A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A5AF">
            <w:pPr>
              <w:jc w:val="center"/>
            </w:pPr>
          </w:p>
        </w:tc>
      </w:tr>
      <w:tr w14:paraId="3CA99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2F2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909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30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EF81">
            <w:pPr>
              <w:jc w:val="center"/>
            </w:pPr>
            <w:r>
              <w:rPr>
                <w:rFonts w:ascii="宋体" w:hAnsi="宋体" w:eastAsia="宋体"/>
                <w:sz w:val="16"/>
              </w:rPr>
              <w:t>幼儿园毛入园率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2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4D2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4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80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9A7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EC1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0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EE7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35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AA83">
            <w:pPr>
              <w:jc w:val="center"/>
            </w:pPr>
          </w:p>
        </w:tc>
      </w:tr>
      <w:tr w14:paraId="4F15C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D6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9DF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84C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A74F">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8F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5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B5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3B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EA1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AF45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8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A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A9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391A">
            <w:pPr>
              <w:jc w:val="center"/>
            </w:pPr>
          </w:p>
        </w:tc>
      </w:tr>
      <w:tr w14:paraId="0B7F1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CD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2D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2D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56C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E13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900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9E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1C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90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2C0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2DB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C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20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C3F6">
            <w:pPr>
              <w:jc w:val="center"/>
            </w:pPr>
          </w:p>
        </w:tc>
      </w:tr>
      <w:tr w14:paraId="1520F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06AB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2B312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90F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0260">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B53A">
            <w:pPr>
              <w:jc w:val="center"/>
            </w:pPr>
            <w:r>
              <w:rPr>
                <w:rFonts w:ascii="宋体" w:hAnsi="宋体" w:eastAsia="宋体"/>
                <w:sz w:val="16"/>
              </w:rPr>
              <w:t>&lt;=83.53万元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17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3213">
            <w:pPr>
              <w:jc w:val="center"/>
            </w:pPr>
            <w:r>
              <w:rPr>
                <w:rFonts w:ascii="宋体" w:hAnsi="宋体" w:eastAsia="宋体"/>
                <w:sz w:val="16"/>
              </w:rPr>
              <w:t>76.98万元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43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CA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6E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BC18">
            <w:pPr>
              <w:jc w:val="center"/>
            </w:pPr>
            <w:r>
              <w:rPr>
                <w:rFonts w:ascii="宋体" w:hAnsi="宋体" w:eastAsia="宋体"/>
                <w:sz w:val="16"/>
              </w:rPr>
              <w:t>=83.53万元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E8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2B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82BD">
            <w:pPr>
              <w:jc w:val="center"/>
            </w:pPr>
          </w:p>
        </w:tc>
      </w:tr>
      <w:tr w14:paraId="76E25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2EF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F6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326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8FFD">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10CA">
            <w:pPr>
              <w:jc w:val="center"/>
            </w:pPr>
            <w:r>
              <w:rPr>
                <w:rFonts w:ascii="宋体" w:hAnsi="宋体" w:eastAsia="宋体"/>
                <w:sz w:val="16"/>
              </w:rPr>
              <w:t>&lt;=7.36万元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A6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E4DE">
            <w:pPr>
              <w:jc w:val="center"/>
            </w:pPr>
            <w:r>
              <w:rPr>
                <w:rFonts w:ascii="宋体" w:hAnsi="宋体" w:eastAsia="宋体"/>
                <w:sz w:val="16"/>
              </w:rPr>
              <w:t>79.47万元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7A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9A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7B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0E598">
            <w:pPr>
              <w:jc w:val="center"/>
            </w:pPr>
            <w:r>
              <w:rPr>
                <w:rFonts w:ascii="宋体" w:hAnsi="宋体" w:eastAsia="宋体"/>
                <w:sz w:val="16"/>
              </w:rPr>
              <w: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C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CE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A20C">
            <w:pPr>
              <w:jc w:val="center"/>
            </w:pPr>
          </w:p>
        </w:tc>
      </w:tr>
      <w:tr w14:paraId="7CDAF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614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01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6C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68CBD">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60C2">
            <w:pPr>
              <w:jc w:val="center"/>
            </w:pPr>
            <w:r>
              <w:rPr>
                <w:rFonts w:ascii="宋体" w:hAnsi="宋体" w:eastAsia="宋体"/>
                <w:sz w:val="16"/>
              </w:rPr>
              <w:t>&lt;=171.76万元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2A8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0666">
            <w:pPr>
              <w:jc w:val="center"/>
            </w:pPr>
            <w:r>
              <w:rPr>
                <w:rFonts w:ascii="宋体" w:hAnsi="宋体" w:eastAsia="宋体"/>
                <w:sz w:val="16"/>
              </w:rPr>
              <w:t>113.58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C1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4C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0C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8CDEC">
            <w:pPr>
              <w:jc w:val="center"/>
            </w:pPr>
            <w:r>
              <w:rPr>
                <w:rFonts w:ascii="宋体" w:hAnsi="宋体" w:eastAsia="宋体"/>
                <w:sz w:val="16"/>
              </w:rPr>
              <w:t>=171.76万元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5D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4B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5871">
            <w:pPr>
              <w:jc w:val="center"/>
            </w:pPr>
          </w:p>
        </w:tc>
      </w:tr>
      <w:tr w14:paraId="1D852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65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5F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B5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3D918">
            <w:pPr>
              <w:jc w:val="center"/>
            </w:pPr>
            <w:r>
              <w:rPr>
                <w:rFonts w:ascii="宋体" w:hAnsi="宋体" w:eastAsia="宋体"/>
                <w:sz w:val="16"/>
              </w:rPr>
              <w:t>提高学前教育普惠保障水平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CE3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0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691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E59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9A2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3D07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B9D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1F8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05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7753">
            <w:pPr>
              <w:jc w:val="center"/>
            </w:pPr>
          </w:p>
        </w:tc>
      </w:tr>
      <w:tr w14:paraId="4F40EA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71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EC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91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1CE4">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330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5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3C5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4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3F5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669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A49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40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5D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F160">
            <w:pPr>
              <w:jc w:val="center"/>
            </w:pPr>
          </w:p>
        </w:tc>
      </w:tr>
      <w:tr w14:paraId="135364F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3F2A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98E5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4606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69C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A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528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683C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BDD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E16A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A1D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CA282"/>
        </w:tc>
      </w:tr>
    </w:tbl>
    <w:p w14:paraId="44BD0762">
      <w:r>
        <w:br w:type="page"/>
      </w:r>
    </w:p>
    <w:p w14:paraId="580C6191">
      <w:pPr>
        <w:spacing w:line="640" w:lineRule="exact"/>
        <w:ind w:firstLine="640"/>
        <w:jc w:val="both"/>
        <w:outlineLvl w:val="2"/>
      </w:pPr>
      <w:r>
        <w:rPr>
          <w:rFonts w:ascii="黑体" w:hAnsi="黑体" w:eastAsia="黑体"/>
          <w:sz w:val="32"/>
        </w:rPr>
        <w:t>十二、其他需说明的事项</w:t>
      </w:r>
    </w:p>
    <w:p w14:paraId="427B9E1A">
      <w:pPr>
        <w:spacing w:line="580" w:lineRule="exact"/>
        <w:ind w:firstLine="640"/>
        <w:jc w:val="both"/>
      </w:pPr>
      <w:r>
        <w:rPr>
          <w:rFonts w:ascii="仿宋_GB2312" w:hAnsi="仿宋_GB2312" w:eastAsia="仿宋_GB2312"/>
          <w:b w:val="0"/>
          <w:sz w:val="32"/>
        </w:rPr>
        <w:t>本单位无其他需说明的事项。</w:t>
      </w:r>
    </w:p>
    <w:p w14:paraId="05324664">
      <w:r>
        <w:br w:type="page"/>
      </w:r>
    </w:p>
    <w:p w14:paraId="03A95A99">
      <w:pPr>
        <w:spacing w:line="240" w:lineRule="auto"/>
        <w:jc w:val="center"/>
        <w:outlineLvl w:val="1"/>
      </w:pPr>
      <w:r>
        <w:rPr>
          <w:rFonts w:ascii="黑体" w:hAnsi="黑体" w:eastAsia="黑体"/>
          <w:sz w:val="32"/>
        </w:rPr>
        <w:t>第三部分 专业名词解释</w:t>
      </w:r>
    </w:p>
    <w:p w14:paraId="26958A5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D8B3D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C167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815F6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52CD3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5005E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361A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EAD2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A7227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6010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E6546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05A3F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B97B13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36FA8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442CE1">
      <w:r>
        <w:br w:type="page"/>
      </w:r>
    </w:p>
    <w:p w14:paraId="70134279">
      <w:pPr>
        <w:spacing w:line="240" w:lineRule="auto"/>
        <w:jc w:val="center"/>
        <w:outlineLvl w:val="1"/>
      </w:pPr>
      <w:r>
        <w:rPr>
          <w:rFonts w:ascii="黑体" w:hAnsi="黑体" w:eastAsia="黑体"/>
          <w:sz w:val="32"/>
        </w:rPr>
        <w:t>第四部分 部门决算报表（见附表）</w:t>
      </w:r>
    </w:p>
    <w:p w14:paraId="0825ADD5">
      <w:pPr>
        <w:spacing w:line="240" w:lineRule="auto"/>
        <w:ind w:firstLine="640"/>
        <w:jc w:val="both"/>
      </w:pPr>
      <w:r>
        <w:rPr>
          <w:rFonts w:ascii="仿宋_GB2312" w:hAnsi="仿宋_GB2312" w:eastAsia="仿宋_GB2312"/>
          <w:b w:val="0"/>
          <w:sz w:val="32"/>
        </w:rPr>
        <w:t>一、《收入支出决算总表》</w:t>
      </w:r>
    </w:p>
    <w:p w14:paraId="4A4AD5D1">
      <w:pPr>
        <w:spacing w:line="240" w:lineRule="auto"/>
        <w:ind w:firstLine="640"/>
        <w:jc w:val="both"/>
      </w:pPr>
      <w:r>
        <w:rPr>
          <w:rFonts w:ascii="仿宋_GB2312" w:hAnsi="仿宋_GB2312" w:eastAsia="仿宋_GB2312"/>
          <w:b w:val="0"/>
          <w:sz w:val="32"/>
        </w:rPr>
        <w:t>二、《收入决算表》</w:t>
      </w:r>
    </w:p>
    <w:p w14:paraId="685E6180">
      <w:pPr>
        <w:spacing w:line="240" w:lineRule="auto"/>
        <w:ind w:firstLine="640"/>
        <w:jc w:val="both"/>
      </w:pPr>
      <w:r>
        <w:rPr>
          <w:rFonts w:ascii="仿宋_GB2312" w:hAnsi="仿宋_GB2312" w:eastAsia="仿宋_GB2312"/>
          <w:b w:val="0"/>
          <w:sz w:val="32"/>
        </w:rPr>
        <w:t>三、《支出决算表》</w:t>
      </w:r>
    </w:p>
    <w:p w14:paraId="3A89B1A8">
      <w:pPr>
        <w:spacing w:line="240" w:lineRule="auto"/>
        <w:ind w:firstLine="640"/>
        <w:jc w:val="both"/>
      </w:pPr>
      <w:r>
        <w:rPr>
          <w:rFonts w:ascii="仿宋_GB2312" w:hAnsi="仿宋_GB2312" w:eastAsia="仿宋_GB2312"/>
          <w:b w:val="0"/>
          <w:sz w:val="32"/>
        </w:rPr>
        <w:t>四、《财政拨款收入支出决算总表》</w:t>
      </w:r>
    </w:p>
    <w:p w14:paraId="22D2C8EC">
      <w:pPr>
        <w:spacing w:line="240" w:lineRule="auto"/>
        <w:ind w:firstLine="640"/>
        <w:jc w:val="both"/>
      </w:pPr>
      <w:r>
        <w:rPr>
          <w:rFonts w:ascii="仿宋_GB2312" w:hAnsi="仿宋_GB2312" w:eastAsia="仿宋_GB2312"/>
          <w:b w:val="0"/>
          <w:sz w:val="32"/>
        </w:rPr>
        <w:t>五、《一般公共预算财政拨款支出决算表》</w:t>
      </w:r>
    </w:p>
    <w:p w14:paraId="4E69366A">
      <w:pPr>
        <w:spacing w:line="240" w:lineRule="auto"/>
        <w:ind w:firstLine="640"/>
        <w:jc w:val="both"/>
      </w:pPr>
      <w:r>
        <w:rPr>
          <w:rFonts w:ascii="仿宋_GB2312" w:hAnsi="仿宋_GB2312" w:eastAsia="仿宋_GB2312"/>
          <w:b w:val="0"/>
          <w:sz w:val="32"/>
        </w:rPr>
        <w:t>六、《一般公共预算财政拨款基本支出决算表》</w:t>
      </w:r>
    </w:p>
    <w:p w14:paraId="6F23167D">
      <w:pPr>
        <w:spacing w:line="240" w:lineRule="auto"/>
        <w:ind w:firstLine="640"/>
        <w:jc w:val="both"/>
      </w:pPr>
      <w:r>
        <w:rPr>
          <w:rFonts w:ascii="仿宋_GB2312" w:hAnsi="仿宋_GB2312" w:eastAsia="仿宋_GB2312"/>
          <w:b w:val="0"/>
          <w:sz w:val="32"/>
        </w:rPr>
        <w:t>七、《政府性基金预算财政拨款收入支出决算表》</w:t>
      </w:r>
    </w:p>
    <w:p w14:paraId="76C2F1B6">
      <w:pPr>
        <w:spacing w:line="240" w:lineRule="auto"/>
        <w:ind w:firstLine="640"/>
        <w:jc w:val="both"/>
      </w:pPr>
      <w:r>
        <w:rPr>
          <w:rFonts w:ascii="仿宋_GB2312" w:hAnsi="仿宋_GB2312" w:eastAsia="仿宋_GB2312"/>
          <w:b w:val="0"/>
          <w:sz w:val="32"/>
        </w:rPr>
        <w:t>八、《国有资本经营预算财政拨款收入支出决算表》</w:t>
      </w:r>
    </w:p>
    <w:p w14:paraId="404DCF97">
      <w:pPr>
        <w:spacing w:line="240" w:lineRule="auto"/>
        <w:ind w:firstLine="640"/>
        <w:jc w:val="both"/>
      </w:pPr>
      <w:r>
        <w:rPr>
          <w:rFonts w:ascii="仿宋_GB2312" w:hAnsi="仿宋_GB2312" w:eastAsia="仿宋_GB2312"/>
          <w:b w:val="0"/>
          <w:sz w:val="32"/>
        </w:rPr>
        <w:t>九、《财政拨款“三公”经费支出决算表》</w:t>
      </w:r>
    </w:p>
    <w:p w14:paraId="1F79EEC7">
      <w:pPr>
        <w:spacing w:line="240" w:lineRule="auto"/>
        <w:ind w:firstLine="640"/>
        <w:jc w:val="both"/>
      </w:pPr>
    </w:p>
    <w:p w14:paraId="09916CF8">
      <w:pPr>
        <w:spacing w:line="240" w:lineRule="auto"/>
        <w:ind w:firstLine="640"/>
        <w:jc w:val="both"/>
      </w:pPr>
    </w:p>
    <w:p w14:paraId="37DAB900">
      <w:pPr>
        <w:spacing w:line="240" w:lineRule="auto"/>
        <w:ind w:firstLine="640"/>
        <w:jc w:val="both"/>
      </w:pPr>
    </w:p>
    <w:p w14:paraId="44C3639D">
      <w:pPr>
        <w:spacing w:line="240" w:lineRule="auto"/>
        <w:ind w:firstLine="640"/>
        <w:jc w:val="both"/>
      </w:pPr>
    </w:p>
    <w:p w14:paraId="55AB37C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2F2767-DC5D-4DB9-9677-694F0B9E4F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FE7706C-72AD-41A2-B90A-EA3263C649D6}"/>
  </w:font>
  <w:font w:name="仿宋_GB2312">
    <w:panose1 w:val="02010609030101010101"/>
    <w:charset w:val="86"/>
    <w:family w:val="modern"/>
    <w:pitch w:val="default"/>
    <w:sig w:usb0="00000001" w:usb1="080E0000" w:usb2="00000000" w:usb3="00000000" w:csb0="00040000" w:csb1="00000000"/>
    <w:embedRegular r:id="rId3" w:fontKey="{D521B62C-E777-47D8-960A-F4887EA64B5F}"/>
  </w:font>
  <w:font w:name="楷体_GB2312">
    <w:panose1 w:val="02010609030101010101"/>
    <w:charset w:val="86"/>
    <w:family w:val="auto"/>
    <w:pitch w:val="default"/>
    <w:sig w:usb0="00000001" w:usb1="080E0000" w:usb2="00000000" w:usb3="00000000" w:csb0="00040000" w:csb1="00000000"/>
    <w:embedRegular r:id="rId4" w:fontKey="{5022BC87-A60E-4B62-A082-559B02F54CB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5A1D57"/>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ED7C8E"/>
    <w:rsid w:val="52F92565"/>
    <w:rsid w:val="543D17CB"/>
    <w:rsid w:val="55DA564E"/>
    <w:rsid w:val="56E07045"/>
    <w:rsid w:val="583059FA"/>
    <w:rsid w:val="587E6212"/>
    <w:rsid w:val="5AFC6609"/>
    <w:rsid w:val="5EF90247"/>
    <w:rsid w:val="5FA17648"/>
    <w:rsid w:val="5FD320BD"/>
    <w:rsid w:val="60B76C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5442</Words>
  <Characters>6349</Characters>
  <Lines>0</Lines>
  <Paragraphs>0</Paragraphs>
  <TotalTime>40</TotalTime>
  <ScaleCrop>false</ScaleCrop>
  <LinksUpToDate>false</LinksUpToDate>
  <CharactersWithSpaces>6358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2025-11-27T05:23:10Z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