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托里县图书馆2024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79414A1">
      <w:r>
        <w:br w:type="page"/>
      </w:r>
    </w:p>
    <w:p w14:paraId="19820134">
      <w:pPr>
        <w:spacing w:line="640" w:lineRule="exact"/>
        <w:jc w:val="center"/>
        <w:outlineLvl w:val="1"/>
      </w:pPr>
      <w:r>
        <w:rPr>
          <w:rFonts w:ascii="黑体" w:hAnsi="黑体" w:eastAsia="黑体"/>
          <w:sz w:val="32"/>
        </w:rPr>
        <w:t>第一部分 单位概况</w:t>
      </w:r>
    </w:p>
    <w:p w14:paraId="60DC4A5C">
      <w:pPr>
        <w:spacing w:line="640" w:lineRule="exact"/>
        <w:ind w:firstLine="640"/>
        <w:jc w:val="both"/>
        <w:outlineLvl w:val="2"/>
      </w:pPr>
      <w:r>
        <w:rPr>
          <w:rFonts w:ascii="黑体" w:hAnsi="黑体" w:eastAsia="黑体"/>
          <w:sz w:val="32"/>
        </w:rPr>
        <w:t>一、主要职能</w:t>
      </w:r>
    </w:p>
    <w:p w14:paraId="6F85DA17">
      <w:pPr>
        <w:spacing w:line="580" w:lineRule="exact"/>
        <w:ind w:firstLine="640"/>
        <w:jc w:val="both"/>
        <w:rPr>
          <w:spacing w:val="-6"/>
          <w:sz w:val="32"/>
        </w:rPr>
      </w:pPr>
      <w:r>
        <w:rPr>
          <w:rFonts w:ascii="仿宋_GB2312" w:hAnsi="仿宋_GB2312" w:eastAsia="仿宋_GB2312"/>
          <w:spacing w:val="-6"/>
          <w:sz w:val="32"/>
        </w:rPr>
        <w:t>（一）保存人类文化遗产。图书馆的产生是保存人类文化遗产的需要，包括文献信息收集、整理、保存、揭示、利用。因为有了图书馆，人类的社会实践所取得的经验、文化、知识才得以系统地保存并流传下来，成为今天人类宝贵的文化遗产和精神财富。</w:t>
      </w:r>
    </w:p>
    <w:p w14:paraId="5796818F">
      <w:pPr>
        <w:spacing w:line="580" w:lineRule="exact"/>
        <w:ind w:firstLine="640"/>
        <w:jc w:val="both"/>
      </w:pPr>
      <w:r>
        <w:rPr>
          <w:rFonts w:ascii="仿宋_GB2312" w:hAnsi="仿宋_GB2312" w:eastAsia="仿宋_GB2312"/>
          <w:sz w:val="32"/>
        </w:rPr>
        <w:t>（二）开展社会教育。近代大工业的产生要求社会人有较多的劳动知识和劳动技能，图书馆从而真正走入平民百姓当中，担负起了对人的科学知识文化教育的任务。现代社会，图书馆成为继续教育、终身教育的基地，担负了更多的教育职能。</w:t>
      </w:r>
    </w:p>
    <w:p w14:paraId="48D98AA5">
      <w:pPr>
        <w:spacing w:line="580" w:lineRule="exact"/>
        <w:ind w:firstLine="640"/>
        <w:jc w:val="both"/>
      </w:pPr>
      <w:r>
        <w:rPr>
          <w:rFonts w:ascii="仿宋_GB2312" w:hAnsi="仿宋_GB2312" w:eastAsia="仿宋_GB2312"/>
          <w:sz w:val="32"/>
        </w:rPr>
        <w:t>（三）传递科学情报。传递科学情报是现代图书馆的一个重要职能。图书馆丰富、系统、全面的图书信息资料，成为图书馆从事科学情报传递工作的物质条件。在信息社会，图书馆的科学情报功能将得到加强。</w:t>
      </w:r>
    </w:p>
    <w:p w14:paraId="0C6D5871">
      <w:pPr>
        <w:spacing w:line="580" w:lineRule="exact"/>
        <w:ind w:firstLine="640"/>
        <w:jc w:val="both"/>
      </w:pPr>
      <w:r>
        <w:rPr>
          <w:rFonts w:ascii="仿宋_GB2312" w:hAnsi="仿宋_GB2312" w:eastAsia="仿宋_GB2312"/>
          <w:sz w:val="32"/>
        </w:rPr>
        <w:t>（四）开发智力资源。图书馆收藏的图书资料是人类长期积累的一种智力资源，图书馆对这些资源的加工、处理是对这种智力资源的开发。同时图书馆将这些图书资料提供利用，是开发图书馆用户的脑力资源。换言之，图书馆承担有人才培养的职能。</w:t>
      </w:r>
    </w:p>
    <w:p w14:paraId="18D42838">
      <w:pPr>
        <w:spacing w:line="580" w:lineRule="exact"/>
        <w:ind w:firstLine="640"/>
        <w:jc w:val="both"/>
      </w:pPr>
      <w:r>
        <w:rPr>
          <w:rFonts w:ascii="仿宋_GB2312" w:hAnsi="仿宋_GB2312" w:eastAsia="仿宋_GB2312"/>
          <w:sz w:val="32"/>
        </w:rPr>
        <w:t>（五）提供文化娱乐。图书馆提供的服务满足了社会对文化娱乐的需要，丰富和活跃了人民群众的文化生活，在精神文明建设当中起到了不可或缺的作用。</w:t>
      </w:r>
    </w:p>
    <w:p w14:paraId="6B1E58E8">
      <w:pPr>
        <w:spacing w:line="640" w:lineRule="exact"/>
        <w:ind w:firstLine="640"/>
        <w:jc w:val="both"/>
        <w:outlineLvl w:val="2"/>
      </w:pPr>
      <w:r>
        <w:rPr>
          <w:rFonts w:ascii="黑体" w:hAnsi="黑体" w:eastAsia="黑体"/>
          <w:sz w:val="32"/>
        </w:rPr>
        <w:t>二、机构设置及人员情况</w:t>
      </w:r>
    </w:p>
    <w:p w14:paraId="318C727A">
      <w:pPr>
        <w:spacing w:line="580" w:lineRule="exact"/>
        <w:ind w:firstLine="640"/>
        <w:jc w:val="both"/>
      </w:pPr>
      <w:r>
        <w:rPr>
          <w:rFonts w:ascii="仿宋_GB2312" w:hAnsi="仿宋_GB2312" w:eastAsia="仿宋_GB2312"/>
          <w:sz w:val="32"/>
        </w:rPr>
        <w:t>托里县图书馆2024年度，实有人数11人，其中：在职人员6人，增加0人；离休人员0人，增加0人；退休人员5人,增加0人。</w:t>
      </w:r>
    </w:p>
    <w:p w14:paraId="4B4E35DB">
      <w:pPr>
        <w:spacing w:line="580" w:lineRule="exact"/>
        <w:ind w:firstLine="640"/>
        <w:jc w:val="both"/>
      </w:pPr>
      <w:r>
        <w:rPr>
          <w:rFonts w:ascii="仿宋_GB2312" w:hAnsi="仿宋_GB2312" w:eastAsia="仿宋_GB2312"/>
          <w:sz w:val="32"/>
        </w:rPr>
        <w:t>托里县图书馆无下属预算单位，下设5个科室，分别是：综合阅览室、少数民族阅览室、少儿阅览室、电子阅览室、财务室。</w:t>
      </w:r>
    </w:p>
    <w:p w14:paraId="4B670450">
      <w:r>
        <w:br w:type="page"/>
      </w:r>
    </w:p>
    <w:p w14:paraId="23243CE4">
      <w:pPr>
        <w:spacing w:line="240" w:lineRule="auto"/>
        <w:jc w:val="center"/>
        <w:outlineLvl w:val="1"/>
      </w:pPr>
      <w:r>
        <w:rPr>
          <w:rFonts w:ascii="黑体" w:hAnsi="黑体" w:eastAsia="黑体"/>
          <w:sz w:val="32"/>
        </w:rPr>
        <w:t>第二部分 部门决算情况说明</w:t>
      </w:r>
    </w:p>
    <w:p w14:paraId="090C31DB">
      <w:pPr>
        <w:spacing w:line="640" w:lineRule="exact"/>
        <w:ind w:firstLine="640"/>
        <w:jc w:val="both"/>
        <w:outlineLvl w:val="2"/>
      </w:pPr>
      <w:r>
        <w:rPr>
          <w:rFonts w:ascii="黑体" w:hAnsi="黑体" w:eastAsia="黑体"/>
          <w:sz w:val="32"/>
        </w:rPr>
        <w:t>一、收入支出决算总体情况说明</w:t>
      </w:r>
    </w:p>
    <w:p w14:paraId="5E0B76A8">
      <w:pPr>
        <w:spacing w:line="580" w:lineRule="exact"/>
        <w:ind w:firstLine="640"/>
        <w:jc w:val="both"/>
      </w:pPr>
      <w:r>
        <w:rPr>
          <w:rFonts w:ascii="仿宋_GB2312" w:hAnsi="仿宋_GB2312" w:eastAsia="仿宋_GB2312"/>
          <w:b/>
          <w:sz w:val="32"/>
        </w:rPr>
        <w:t>2024年度收入总计152.49万元，</w:t>
      </w:r>
      <w:r>
        <w:rPr>
          <w:rFonts w:ascii="仿宋_GB2312" w:hAnsi="仿宋_GB2312" w:eastAsia="仿宋_GB2312"/>
          <w:b w:val="0"/>
          <w:sz w:val="32"/>
        </w:rPr>
        <w:t>其中：本年收入合计152.49万元，使用非财政拨款结余（含专用结余）0.00万元，年初结转和结余0.00万元。</w:t>
      </w:r>
    </w:p>
    <w:p w14:paraId="19CD9236">
      <w:pPr>
        <w:spacing w:line="580" w:lineRule="exact"/>
        <w:ind w:firstLine="640"/>
        <w:jc w:val="both"/>
      </w:pPr>
      <w:r>
        <w:rPr>
          <w:rFonts w:ascii="仿宋_GB2312" w:hAnsi="仿宋_GB2312" w:eastAsia="仿宋_GB2312"/>
          <w:b/>
          <w:sz w:val="32"/>
        </w:rPr>
        <w:t>2024年度支出总计152.49万元，</w:t>
      </w:r>
      <w:r>
        <w:rPr>
          <w:rFonts w:ascii="仿宋_GB2312" w:hAnsi="仿宋_GB2312" w:eastAsia="仿宋_GB2312"/>
          <w:b w:val="0"/>
          <w:sz w:val="32"/>
        </w:rPr>
        <w:t>其中：本年支出合计152.49万元，结余分配0.00万元，年末结转和结余0.00万元。</w:t>
      </w:r>
    </w:p>
    <w:p w14:paraId="17C737D5">
      <w:pPr>
        <w:spacing w:line="580" w:lineRule="exact"/>
        <w:ind w:firstLine="640"/>
        <w:jc w:val="both"/>
      </w:pPr>
      <w:r>
        <w:rPr>
          <w:rFonts w:ascii="仿宋_GB2312" w:hAnsi="仿宋_GB2312" w:eastAsia="仿宋_GB2312"/>
          <w:b w:val="0"/>
          <w:sz w:val="32"/>
        </w:rPr>
        <w:t>收入支出总体与上年相比，增加28.81万元，增长23.29%，主要原因是：本年在职人员工资调增，社保、公积金基数调增，人员经费增加。本年增加公共美术馆、图书馆、文化馆免费开放资金，导致经费较上年增加。</w:t>
      </w:r>
    </w:p>
    <w:p w14:paraId="7B95DC9A">
      <w:pPr>
        <w:spacing w:line="640" w:lineRule="exact"/>
        <w:ind w:firstLine="640"/>
        <w:jc w:val="both"/>
        <w:outlineLvl w:val="2"/>
      </w:pPr>
      <w:r>
        <w:rPr>
          <w:rFonts w:ascii="黑体" w:hAnsi="黑体" w:eastAsia="黑体"/>
          <w:sz w:val="32"/>
        </w:rPr>
        <w:t>二、收入决算情况说明</w:t>
      </w:r>
    </w:p>
    <w:p w14:paraId="1DB0398D">
      <w:pPr>
        <w:spacing w:line="580" w:lineRule="exact"/>
        <w:ind w:firstLine="640"/>
        <w:jc w:val="both"/>
      </w:pPr>
      <w:r>
        <w:rPr>
          <w:rFonts w:ascii="仿宋_GB2312" w:hAnsi="仿宋_GB2312" w:eastAsia="仿宋_GB2312"/>
          <w:b/>
          <w:sz w:val="32"/>
        </w:rPr>
        <w:t>本年收入152.49万元，</w:t>
      </w:r>
      <w:r>
        <w:rPr>
          <w:rFonts w:ascii="仿宋_GB2312" w:hAnsi="仿宋_GB2312" w:eastAsia="仿宋_GB2312"/>
          <w:b w:val="0"/>
          <w:sz w:val="32"/>
        </w:rPr>
        <w:t>其中：财政拨款收入152.49万元，占100.00%；上级补助收入0.00万元，占0.00%；事业收入0.00万元，占0.00%；经营收入0.00万元，占0.00%；附属单位上缴收入0.00万元，占0.00%；其他收入0.00万元，占0.00%。</w:t>
      </w:r>
    </w:p>
    <w:p w14:paraId="63D3DBE5">
      <w:pPr>
        <w:spacing w:line="640" w:lineRule="exact"/>
        <w:ind w:firstLine="640"/>
        <w:jc w:val="both"/>
        <w:outlineLvl w:val="2"/>
      </w:pPr>
      <w:r>
        <w:rPr>
          <w:rFonts w:ascii="黑体" w:hAnsi="黑体" w:eastAsia="黑体"/>
          <w:sz w:val="32"/>
        </w:rPr>
        <w:t>三、支出决算情况说明</w:t>
      </w:r>
    </w:p>
    <w:p w14:paraId="1A0D841E">
      <w:pPr>
        <w:spacing w:line="580" w:lineRule="exact"/>
        <w:ind w:firstLine="640"/>
        <w:jc w:val="both"/>
      </w:pPr>
      <w:r>
        <w:rPr>
          <w:rFonts w:ascii="仿宋_GB2312" w:hAnsi="仿宋_GB2312" w:eastAsia="仿宋_GB2312"/>
          <w:b/>
          <w:sz w:val="32"/>
        </w:rPr>
        <w:t>本年支出152.49万元，</w:t>
      </w:r>
      <w:r>
        <w:rPr>
          <w:rFonts w:ascii="仿宋_GB2312" w:hAnsi="仿宋_GB2312" w:eastAsia="仿宋_GB2312"/>
          <w:b w:val="0"/>
          <w:sz w:val="32"/>
        </w:rPr>
        <w:t>其中：基本支出123.79万元，占81.18%；项目支出28.70万元，占18.82%；上缴上级支出0.00万元，占0.00%；经营支出0.00万元，占0.00%；对附属单位补助支出0.00万元，占0.00%。</w:t>
      </w:r>
    </w:p>
    <w:p w14:paraId="06AD5F0E">
      <w:pPr>
        <w:spacing w:line="640" w:lineRule="exact"/>
        <w:ind w:firstLine="640"/>
        <w:jc w:val="both"/>
        <w:outlineLvl w:val="2"/>
      </w:pPr>
      <w:r>
        <w:rPr>
          <w:rFonts w:ascii="黑体" w:hAnsi="黑体" w:eastAsia="黑体"/>
          <w:sz w:val="32"/>
        </w:rPr>
        <w:t>四、财政拨款收入支出决算总体情况说明</w:t>
      </w:r>
    </w:p>
    <w:p w14:paraId="163983F6">
      <w:pPr>
        <w:spacing w:line="580" w:lineRule="exact"/>
        <w:ind w:firstLine="640"/>
        <w:jc w:val="both"/>
      </w:pPr>
      <w:r>
        <w:rPr>
          <w:rFonts w:ascii="仿宋_GB2312" w:hAnsi="仿宋_GB2312" w:eastAsia="仿宋_GB2312"/>
          <w:b/>
          <w:sz w:val="32"/>
        </w:rPr>
        <w:t>2024年度财政拨款收入总计152.49万元，</w:t>
      </w:r>
      <w:r>
        <w:rPr>
          <w:rFonts w:ascii="仿宋_GB2312" w:hAnsi="仿宋_GB2312" w:eastAsia="仿宋_GB2312"/>
          <w:b w:val="0"/>
          <w:sz w:val="32"/>
        </w:rPr>
        <w:t>其中：年初财政拨款结转和结余0.00万元，本年财政拨款收入152.49万元。</w:t>
      </w:r>
      <w:r>
        <w:rPr>
          <w:rFonts w:ascii="仿宋_GB2312" w:hAnsi="仿宋_GB2312" w:eastAsia="仿宋_GB2312"/>
          <w:b/>
          <w:sz w:val="32"/>
        </w:rPr>
        <w:t>财政拨款支出总计152.49万元，</w:t>
      </w:r>
      <w:r>
        <w:rPr>
          <w:rFonts w:ascii="仿宋_GB2312" w:hAnsi="仿宋_GB2312" w:eastAsia="仿宋_GB2312"/>
          <w:b w:val="0"/>
          <w:sz w:val="32"/>
        </w:rPr>
        <w:t>其中：年末财政拨款结转和结余0.00万元，本年财政拨款支出152.49万元。</w:t>
      </w:r>
    </w:p>
    <w:p w14:paraId="7DEF846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增加28.82万元，增长23.30%，主要原因是：本年在职人员工资调增，社保、公积金基数调增，人员经费增加。本年增加公共美术馆、图书馆、文化馆免费开放资金，导致经费较上年增加。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年初预算数139.59万元，决算数152.49万元，预决算差异率9.24%，主要原因是：年中追加公共美术馆、图书馆、文化馆免费开放资金，导致预决算存在差异。</w:t>
      </w:r>
    </w:p>
    <w:p w14:paraId="243B7766">
      <w:pPr>
        <w:spacing w:line="640" w:lineRule="exact"/>
        <w:ind w:firstLine="640"/>
        <w:jc w:val="both"/>
        <w:outlineLvl w:val="2"/>
      </w:pPr>
      <w:r>
        <w:rPr>
          <w:rFonts w:ascii="黑体" w:hAnsi="黑体" w:eastAsia="黑体"/>
          <w:sz w:val="32"/>
        </w:rPr>
        <w:t>五、一般公共预算财政拨款支出决算情况说明</w:t>
      </w:r>
    </w:p>
    <w:p w14:paraId="058ACD0B">
      <w:pPr>
        <w:spacing w:line="640" w:lineRule="exact"/>
        <w:ind w:firstLine="640"/>
        <w:jc w:val="both"/>
        <w:outlineLvl w:val="3"/>
      </w:pPr>
      <w:r>
        <w:rPr>
          <w:rFonts w:ascii="楷体_GB2312" w:hAnsi="楷体_GB2312" w:eastAsia="楷体_GB2312"/>
          <w:b/>
          <w:sz w:val="32"/>
        </w:rPr>
        <w:t>（一）一般公共预算财政拨款支出决算总体情况</w:t>
      </w:r>
    </w:p>
    <w:p w14:paraId="3561B42A">
      <w:pPr>
        <w:spacing w:line="580" w:lineRule="exact"/>
        <w:ind w:firstLine="640"/>
        <w:jc w:val="both"/>
      </w:pPr>
      <w:r>
        <w:rPr>
          <w:rFonts w:ascii="仿宋_GB2312" w:hAnsi="仿宋_GB2312" w:eastAsia="仿宋_GB2312"/>
          <w:b/>
          <w:sz w:val="32"/>
        </w:rPr>
        <w:t>2024年度一般公共预算财政拨款支出152.49万元，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增加28.82万元，增长23.30%，主要原因是：本年在职人员工资调增，社保、公积金基数调增，人员经费增加。本年增加公共美术馆、图书馆、文化馆免费开放资金，导致经费较上年增加。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年初预算数139.59万元，决算数152.49万元，预决算差异率9.24%，主要原因是：年中追加公共美术馆、图书馆、文化馆免费开放资金，导致预决算存在差异。</w:t>
      </w:r>
    </w:p>
    <w:p w14:paraId="4DAFFF78">
      <w:pPr>
        <w:spacing w:line="640" w:lineRule="exact"/>
        <w:ind w:firstLine="640"/>
        <w:jc w:val="both"/>
        <w:outlineLvl w:val="3"/>
      </w:pPr>
      <w:r>
        <w:rPr>
          <w:rFonts w:ascii="楷体_GB2312" w:hAnsi="楷体_GB2312" w:eastAsia="楷体_GB2312"/>
          <w:b/>
          <w:sz w:val="32"/>
        </w:rPr>
        <w:t>（二）一般公共预算财政拨款支出决算结构情况</w:t>
      </w:r>
    </w:p>
    <w:p w14:paraId="4428FF3C">
      <w:pPr>
        <w:spacing w:line="580" w:lineRule="exact"/>
        <w:ind w:firstLine="640"/>
        <w:jc w:val="both"/>
      </w:pPr>
      <w:r>
        <w:rPr>
          <w:rFonts w:ascii="仿宋_GB2312" w:hAnsi="仿宋_GB2312" w:eastAsia="仿宋_GB2312"/>
          <w:b w:val="0"/>
          <w:sz w:val="32"/>
        </w:rPr>
        <w:t>1.文化旅游体育与传媒支出(类)125.56万元,占82.34%。</w:t>
      </w:r>
    </w:p>
    <w:p w14:paraId="1088C93D">
      <w:pPr>
        <w:spacing w:line="580" w:lineRule="exact"/>
        <w:ind w:firstLine="640"/>
        <w:jc w:val="both"/>
      </w:pPr>
      <w:r>
        <w:rPr>
          <w:rFonts w:ascii="仿宋_GB2312" w:hAnsi="仿宋_GB2312" w:eastAsia="仿宋_GB2312"/>
          <w:b w:val="0"/>
          <w:sz w:val="32"/>
        </w:rPr>
        <w:t>2.社会保障和就业支出(类)14.16万元,占9.29%。</w:t>
      </w:r>
    </w:p>
    <w:p w14:paraId="54C3C6A0">
      <w:pPr>
        <w:spacing w:line="580" w:lineRule="exact"/>
        <w:ind w:firstLine="640"/>
        <w:jc w:val="both"/>
      </w:pPr>
      <w:r>
        <w:rPr>
          <w:rFonts w:ascii="仿宋_GB2312" w:hAnsi="仿宋_GB2312" w:eastAsia="仿宋_GB2312"/>
          <w:b w:val="0"/>
          <w:sz w:val="32"/>
        </w:rPr>
        <w:t>3.卫生健康支出(类)4.43万元,占2.91%。</w:t>
      </w:r>
    </w:p>
    <w:p w14:paraId="7704F665">
      <w:pPr>
        <w:spacing w:line="580" w:lineRule="exact"/>
        <w:ind w:firstLine="640"/>
        <w:jc w:val="both"/>
      </w:pPr>
      <w:r>
        <w:rPr>
          <w:rFonts w:ascii="仿宋_GB2312" w:hAnsi="仿宋_GB2312" w:eastAsia="仿宋_GB2312"/>
          <w:b w:val="0"/>
          <w:sz w:val="32"/>
        </w:rPr>
        <w:t>4.住房保障支出(类)8.34万元,占5.47%。</w:t>
      </w:r>
    </w:p>
    <w:p w14:paraId="7B5407EC">
      <w:pPr>
        <w:spacing w:line="640" w:lineRule="exact"/>
        <w:ind w:firstLine="640"/>
        <w:jc w:val="both"/>
        <w:outlineLvl w:val="3"/>
      </w:pPr>
      <w:r>
        <w:rPr>
          <w:rFonts w:ascii="楷体_GB2312" w:hAnsi="楷体_GB2312" w:eastAsia="楷体_GB2312"/>
          <w:b/>
          <w:sz w:val="32"/>
        </w:rPr>
        <w:t>（三）一般公共预算财政拨款支出决算具体情况</w:t>
      </w:r>
    </w:p>
    <w:p w14:paraId="6780D207">
      <w:pPr>
        <w:spacing w:line="580" w:lineRule="exact"/>
        <w:ind w:firstLine="640"/>
        <w:jc w:val="both"/>
      </w:pPr>
      <w:r>
        <w:rPr>
          <w:rFonts w:ascii="仿宋_GB2312" w:hAnsi="仿宋_GB2312" w:eastAsia="仿宋_GB2312"/>
          <w:b w:val="0"/>
          <w:sz w:val="32"/>
        </w:rPr>
        <w:t>1.文化旅游体育与传媒支出(类)文化和旅游(款)图书馆(项):支出决算数为96.86万元，比上年决算增加19.32万元，增长24.92%,主要原因是：本年在职人员工资调增，发放绩效奖金，相关人员经费支出增加。</w:t>
      </w:r>
    </w:p>
    <w:p w14:paraId="44249087">
      <w:pPr>
        <w:spacing w:line="580" w:lineRule="exact"/>
        <w:ind w:firstLine="640"/>
        <w:jc w:val="both"/>
      </w:pPr>
      <w:r>
        <w:rPr>
          <w:rFonts w:ascii="仿宋_GB2312" w:hAnsi="仿宋_GB2312" w:eastAsia="仿宋_GB2312"/>
          <w:b w:val="0"/>
          <w:sz w:val="32"/>
        </w:rPr>
        <w:t>2.文化旅游体育与传媒支出(类)文化和旅游(款)其他文化和旅游支出(项):支出决算数为28.70万元，比上年决算增加5.00万元，增长21.10%,主要原因是：本年增加中央支持地方公共文化服务体系建设补助资金，相关支出增加。</w:t>
      </w:r>
    </w:p>
    <w:p w14:paraId="14BD23F9">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3.社会保障和就业支出(类)行政事业单位养老支出(款)事业单位离退休(项):支出决算数为3.49万元，比上年决算增加0.98万元，增长39.04%,主要原因是：本年增加退休人员基础绩效奖，退休费支出增加。</w:t>
      </w:r>
    </w:p>
    <w:p w14:paraId="6BB0F9DC">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10.67万元，比上年决算增加1.78万元，增长20.02%,主要原因是：本年在职人员工资基数调增，养老缴费基数上涨，相应支出增加。</w:t>
      </w:r>
    </w:p>
    <w:p w14:paraId="3614A19E">
      <w:pPr>
        <w:spacing w:line="580" w:lineRule="exact"/>
        <w:ind w:firstLine="640"/>
        <w:jc w:val="both"/>
      </w:pPr>
      <w:r>
        <w:rPr>
          <w:rFonts w:ascii="仿宋_GB2312" w:hAnsi="仿宋_GB2312" w:eastAsia="仿宋_GB2312"/>
          <w:b w:val="0"/>
          <w:sz w:val="32"/>
        </w:rPr>
        <w:t>5.卫生健康支出(类)行政事业单位医疗(款)事业单位医疗(项):支出决算数为4.43万元，比上年决算增加0.42万元，增长10.47%,主要原因是：本年在职人员工资基数调增，医疗缴费基数上涨，相应支出增加。</w:t>
      </w:r>
    </w:p>
    <w:p w14:paraId="16AC3323">
      <w:pPr>
        <w:spacing w:line="580" w:lineRule="exact"/>
        <w:ind w:firstLine="640"/>
        <w:jc w:val="both"/>
      </w:pPr>
      <w:r>
        <w:rPr>
          <w:rFonts w:ascii="仿宋_GB2312" w:hAnsi="仿宋_GB2312" w:eastAsia="仿宋_GB2312"/>
          <w:b w:val="0"/>
          <w:sz w:val="32"/>
        </w:rPr>
        <w:t>6.住房保障支出(类)住房改革支出(款)住房公积金(项):支出决算数为8.34万元，比上年决算增加1.32万元，增长18.80%,主要原因是：本年在职人员工资基数调增，公积金缴费基数上涨，相应支出增加。</w:t>
      </w:r>
    </w:p>
    <w:p w14:paraId="5CDA221F">
      <w:pPr>
        <w:spacing w:line="640" w:lineRule="exact"/>
        <w:ind w:firstLine="640"/>
        <w:jc w:val="both"/>
        <w:outlineLvl w:val="2"/>
      </w:pPr>
      <w:r>
        <w:rPr>
          <w:rFonts w:ascii="黑体" w:hAnsi="黑体" w:eastAsia="黑体"/>
          <w:sz w:val="32"/>
        </w:rPr>
        <w:t>六、一般公共预算财政拨款基本支出决算情况说明</w:t>
      </w:r>
    </w:p>
    <w:p w14:paraId="2E1D0902">
      <w:pPr>
        <w:spacing w:line="580" w:lineRule="exact"/>
        <w:ind w:firstLine="640"/>
        <w:jc w:val="both"/>
      </w:pPr>
      <w:r>
        <w:rPr>
          <w:rFonts w:ascii="仿宋_GB2312" w:hAnsi="仿宋_GB2312" w:eastAsia="仿宋_GB2312"/>
          <w:b w:val="0"/>
          <w:sz w:val="32"/>
        </w:rPr>
        <w:t>2024年度一般公共预算财政拨款基本支出123.79万元，其中：</w:t>
      </w:r>
      <w:r>
        <w:rPr>
          <w:rFonts w:ascii="仿宋_GB2312" w:hAnsi="仿宋_GB2312" w:eastAsia="仿宋_GB2312"/>
          <w:b/>
          <w:sz w:val="32"/>
        </w:rPr>
        <w:t>人员经费115.44万元，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包括：基本工资、津贴补贴、奖金、绩效工资、机关事业单位基本养老保险缴费、职工基本医疗保险缴费、其他社会保障缴费、住房公积金、退休费、生活补助、奖励金。</w:t>
      </w:r>
    </w:p>
    <w:p w14:paraId="3F44A577">
      <w:pPr>
        <w:spacing w:line="580" w:lineRule="exact"/>
        <w:ind w:firstLine="640"/>
        <w:jc w:val="both"/>
      </w:pPr>
      <w:r>
        <w:rPr>
          <w:rFonts w:ascii="仿宋_GB2312" w:hAnsi="仿宋_GB2312" w:eastAsia="仿宋_GB2312"/>
          <w:b/>
          <w:sz w:val="32"/>
        </w:rPr>
        <w:t>公用经费8.36万元，</w:t>
      </w:r>
      <w:r>
        <w:rPr>
          <w:rFonts w:ascii="仿宋_GB2312" w:hAnsi="仿宋_GB2312" w:eastAsia="仿宋_GB2312"/>
          <w:b w:val="0"/>
          <w:sz w:val="32"/>
        </w:rPr>
        <w:t>包括：办公费、印刷费、取暖费、维修（护）费、培训费、专用燃料费、工会经费、公务用车运行维护费、办公设备购置。</w:t>
      </w:r>
    </w:p>
    <w:p w14:paraId="33ABC9E6">
      <w:pPr>
        <w:spacing w:line="640" w:lineRule="exact"/>
        <w:ind w:firstLine="640"/>
        <w:jc w:val="both"/>
        <w:outlineLvl w:val="2"/>
      </w:pPr>
      <w:r>
        <w:rPr>
          <w:rFonts w:ascii="黑体" w:hAnsi="黑体" w:eastAsia="黑体"/>
          <w:sz w:val="32"/>
        </w:rPr>
        <w:t>七、政府性基金预算财政拨款收入支出决算情况说明</w:t>
      </w:r>
    </w:p>
    <w:p w14:paraId="2C4A2D8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DDF6BA7">
      <w:pPr>
        <w:spacing w:line="640" w:lineRule="exact"/>
        <w:ind w:firstLine="640"/>
        <w:jc w:val="both"/>
        <w:outlineLvl w:val="2"/>
      </w:pPr>
      <w:r>
        <w:rPr>
          <w:rFonts w:ascii="黑体" w:hAnsi="黑体" w:eastAsia="黑体"/>
          <w:sz w:val="32"/>
        </w:rPr>
        <w:t>八、国有资本经营预算财政拨款收入支出决算情况说明</w:t>
      </w:r>
    </w:p>
    <w:p w14:paraId="2971790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D8C3E8F">
      <w:pPr>
        <w:spacing w:line="640" w:lineRule="exact"/>
        <w:ind w:firstLine="640"/>
        <w:jc w:val="both"/>
        <w:outlineLvl w:val="2"/>
      </w:pPr>
      <w:r>
        <w:rPr>
          <w:rFonts w:ascii="黑体" w:hAnsi="黑体" w:eastAsia="黑体"/>
          <w:sz w:val="32"/>
        </w:rPr>
        <w:t>九、财政拨款“三公”经费支出决算情况说明</w:t>
      </w:r>
    </w:p>
    <w:p w14:paraId="1893FD6E">
      <w:pPr>
        <w:spacing w:line="580" w:lineRule="exact"/>
        <w:ind w:firstLine="640"/>
        <w:jc w:val="both"/>
      </w:pPr>
      <w:r>
        <w:rPr>
          <w:rFonts w:ascii="仿宋_GB2312" w:hAnsi="仿宋_GB2312" w:eastAsia="仿宋_GB2312"/>
          <w:b/>
          <w:sz w:val="32"/>
        </w:rPr>
        <w:t>2024年度财政拨款“三公”经费支出0.51万元，</w:t>
      </w:r>
      <w:r>
        <w:rPr>
          <w:rFonts w:ascii="仿宋_GB2312" w:hAnsi="仿宋_GB2312" w:eastAsia="仿宋_GB2312"/>
          <w:b w:val="0"/>
          <w:sz w:val="32"/>
        </w:rPr>
        <w:t>比上年减少0.63万元，下降55.26%，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0.51万元，占100.00%，比上年减少0.63万元，下降55.26%，主要原因是：严格落实中央八项规定精神，厉行节约，减少公务用车运行维护费。公务接待费支出0.00万元，占0.00%，比上年增加0.00万元，增长0.00%，主要原因是：2023年与2024年均未安排公务接待费支出。</w:t>
      </w:r>
    </w:p>
    <w:p w14:paraId="6C3E9A81">
      <w:pPr>
        <w:spacing w:line="580" w:lineRule="exact"/>
        <w:ind w:firstLine="640"/>
        <w:jc w:val="both"/>
      </w:pPr>
      <w:r>
        <w:rPr>
          <w:rFonts w:ascii="仿宋_GB2312" w:hAnsi="仿宋_GB2312" w:eastAsia="仿宋_GB2312"/>
          <w:b/>
          <w:sz w:val="32"/>
        </w:rPr>
        <w:t>具体情况如下：</w:t>
      </w:r>
    </w:p>
    <w:p w14:paraId="6BEF190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BFDE527">
      <w:pPr>
        <w:spacing w:line="580" w:lineRule="exact"/>
        <w:ind w:firstLine="640"/>
        <w:jc w:val="both"/>
      </w:pPr>
      <w:r>
        <w:rPr>
          <w:rFonts w:ascii="仿宋_GB2312" w:hAnsi="仿宋_GB2312" w:eastAsia="仿宋_GB2312"/>
          <w:b w:val="0"/>
          <w:sz w:val="32"/>
        </w:rPr>
        <w:t>公务用车购置及运行维护费0.51万元，其中：公务用车购置费0.00万元，公务用车运行维护费0.51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3EE41A9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11EBFF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0.51万元，决算数0.51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0.51万元，决算数0.51万元，预决算差异率0.00%，主要原因是：严格按照预算执行，预决算无差异。公务接待费全年预算数0.00万元，决算数0.00万元，预决算差异率0.00%，主要原因是：本单位无公务接待费。</w:t>
      </w:r>
    </w:p>
    <w:p w14:paraId="54CB9CCF">
      <w:pPr>
        <w:spacing w:line="640" w:lineRule="exact"/>
        <w:ind w:firstLine="640"/>
        <w:jc w:val="both"/>
        <w:outlineLvl w:val="2"/>
      </w:pPr>
      <w:r>
        <w:rPr>
          <w:rFonts w:ascii="黑体" w:hAnsi="黑体" w:eastAsia="黑体"/>
          <w:sz w:val="32"/>
        </w:rPr>
        <w:t>十、其他重要事项的情况说明</w:t>
      </w:r>
    </w:p>
    <w:p w14:paraId="72F16BA1">
      <w:pPr>
        <w:spacing w:line="640" w:lineRule="exact"/>
        <w:ind w:firstLine="640"/>
        <w:jc w:val="both"/>
        <w:outlineLvl w:val="3"/>
      </w:pPr>
      <w:r>
        <w:rPr>
          <w:rFonts w:ascii="楷体_GB2312" w:hAnsi="楷体_GB2312" w:eastAsia="楷体_GB2312"/>
          <w:b/>
          <w:sz w:val="32"/>
        </w:rPr>
        <w:t>（一）机关运行经费及公用经费支出情况</w:t>
      </w:r>
    </w:p>
    <w:p w14:paraId="70398F1E">
      <w:pPr>
        <w:spacing w:line="580" w:lineRule="exact"/>
        <w:ind w:firstLine="640"/>
        <w:jc w:val="both"/>
      </w:pPr>
      <w:r>
        <w:rPr>
          <w:rFonts w:ascii="仿宋_GB2312" w:hAnsi="仿宋_GB2312" w:eastAsia="仿宋_GB2312"/>
          <w:b w:val="0"/>
          <w:sz w:val="32"/>
        </w:rPr>
        <w:t>2024年度托里县图书馆（事业单位）公用经费支出8.36万元，比上年增加1.59万元，增长23.49%，主要原因是：本年业务量增加，公用经费增加。</w:t>
      </w:r>
    </w:p>
    <w:p w14:paraId="7B027EB7">
      <w:pPr>
        <w:spacing w:line="640" w:lineRule="exact"/>
        <w:ind w:firstLine="640"/>
        <w:jc w:val="both"/>
        <w:outlineLvl w:val="3"/>
      </w:pPr>
      <w:r>
        <w:rPr>
          <w:rFonts w:ascii="楷体_GB2312" w:hAnsi="楷体_GB2312" w:eastAsia="楷体_GB2312"/>
          <w:b/>
          <w:sz w:val="32"/>
        </w:rPr>
        <w:t>（二）政府采购情况</w:t>
      </w:r>
    </w:p>
    <w:p w14:paraId="10A0D1A3">
      <w:pPr>
        <w:spacing w:line="580" w:lineRule="exact"/>
        <w:ind w:firstLine="640"/>
        <w:jc w:val="both"/>
      </w:pPr>
      <w:r>
        <w:rPr>
          <w:rFonts w:ascii="仿宋_GB2312" w:hAnsi="仿宋_GB2312" w:eastAsia="仿宋_GB2312"/>
          <w:b w:val="0"/>
          <w:sz w:val="32"/>
        </w:rPr>
        <w:t>2024年度政府采购支出总额2.35万元，其中：政府采购货物支出0.00万元、政府采购工程支出0.00万元、政府采购服务支出2.35万元。</w:t>
      </w:r>
    </w:p>
    <w:p w14:paraId="3DE5A33E">
      <w:pPr>
        <w:spacing w:line="580" w:lineRule="exact"/>
        <w:ind w:firstLine="640"/>
        <w:jc w:val="both"/>
      </w:pPr>
      <w:r>
        <w:rPr>
          <w:rFonts w:ascii="仿宋_GB2312" w:hAnsi="仿宋_GB2312" w:eastAsia="仿宋_GB2312"/>
          <w:b w:val="0"/>
          <w:sz w:val="32"/>
        </w:rPr>
        <w:t>授予中小企业合同金额2.35万元，占政府采购支出总额的100.00%，其中：授予小微企业合同金额2.35万元，占政府采购支出总额的100.00%。</w:t>
      </w:r>
    </w:p>
    <w:p w14:paraId="5CB7797B">
      <w:pPr>
        <w:spacing w:line="640" w:lineRule="exact"/>
        <w:ind w:firstLine="640"/>
        <w:jc w:val="both"/>
        <w:outlineLvl w:val="3"/>
      </w:pPr>
      <w:r>
        <w:rPr>
          <w:rFonts w:ascii="楷体_GB2312" w:hAnsi="楷体_GB2312" w:eastAsia="楷体_GB2312"/>
          <w:b/>
          <w:sz w:val="32"/>
        </w:rPr>
        <w:t>（三）国有资产占用情况说明</w:t>
      </w:r>
    </w:p>
    <w:p w14:paraId="2A5572AE">
      <w:pPr>
        <w:spacing w:line="580" w:lineRule="exact"/>
        <w:ind w:firstLine="640"/>
        <w:jc w:val="both"/>
      </w:pPr>
      <w:r>
        <w:rPr>
          <w:rFonts w:ascii="仿宋_GB2312" w:hAnsi="仿宋_GB2312" w:eastAsia="仿宋_GB2312"/>
          <w:b w:val="0"/>
          <w:sz w:val="32"/>
        </w:rPr>
        <w:t>截至2024年1</w:t>
      </w:r>
      <w:bookmarkStart w:id="0" w:name="_GoBack"/>
      <w:r>
        <w:rPr>
          <w:rFonts w:ascii="仿宋_GB2312" w:hAnsi="仿宋_GB2312" w:eastAsia="仿宋_GB2312"/>
          <w:b w:val="0"/>
          <w:sz w:val="32"/>
        </w:rPr>
        <w:t>2月31日</w:t>
      </w:r>
      <w:bookmarkEnd w:id="0"/>
      <w:r>
        <w:rPr>
          <w:rFonts w:ascii="仿宋_GB2312" w:hAnsi="仿宋_GB2312" w:eastAsia="仿宋_GB2312"/>
          <w:b w:val="0"/>
          <w:sz w:val="32"/>
        </w:rPr>
        <w:t>，房屋0.00平方米，价值0.00万元。车辆1辆，价值3.38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04F945E8">
      <w:pPr>
        <w:spacing w:line="640" w:lineRule="exact"/>
        <w:ind w:firstLine="640"/>
        <w:jc w:val="both"/>
        <w:outlineLvl w:val="2"/>
      </w:pPr>
      <w:r>
        <w:rPr>
          <w:rFonts w:ascii="黑体" w:hAnsi="黑体" w:eastAsia="黑体"/>
          <w:sz w:val="32"/>
        </w:rPr>
        <w:t>十一、预算绩效的情况说明</w:t>
      </w:r>
    </w:p>
    <w:p w14:paraId="7E5EA88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152.49万元，实际执行总额152.49万元；预算绩效评价项目1个，全年预算数23.70万元，全年执行数23.70万元。预算绩效管理取得的成效：强化了预算绩效意识。“花钱必有效，无效必问责”的意识增强。发现的问题及原因：在资金分配支付方面不均衡，影响支付进度。下一步改进措施：合理安排</w:t>
      </w:r>
      <w:r>
        <w:rPr>
          <w:rFonts w:hint="eastAsia" w:ascii="仿宋_GB2312" w:hAnsi="仿宋_GB2312" w:eastAsia="仿宋_GB2312"/>
          <w:b w:val="0"/>
          <w:sz w:val="32"/>
          <w:lang w:eastAsia="zh-CN"/>
        </w:rPr>
        <w:t>各</w:t>
      </w:r>
      <w:r>
        <w:rPr>
          <w:rFonts w:ascii="仿宋_GB2312" w:hAnsi="仿宋_GB2312" w:eastAsia="仿宋_GB2312"/>
          <w:b w:val="0"/>
          <w:sz w:val="32"/>
        </w:rPr>
        <w:t>项目资金支出，尽可能保持均衡的支出进度，以利于单位工作正常开展，保障重点项目顺利实施。具体附整体支出绩效自评表，项目支出绩效自评表和评价报告。</w:t>
      </w:r>
    </w:p>
    <w:p w14:paraId="38C9E9B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060C9CC">
        <w:tblPrEx>
          <w:tblCellMar>
            <w:top w:w="0" w:type="dxa"/>
            <w:left w:w="108" w:type="dxa"/>
            <w:bottom w:w="0" w:type="dxa"/>
            <w:right w:w="108" w:type="dxa"/>
          </w:tblCellMar>
        </w:tblPrEx>
        <w:tc>
          <w:tcPr>
            <w:tcW w:w="8840" w:type="dxa"/>
            <w:gridSpan w:val="8"/>
            <w:vAlign w:val="center"/>
          </w:tcPr>
          <w:p w14:paraId="28732A29">
            <w:pPr>
              <w:jc w:val="center"/>
            </w:pPr>
            <w:r>
              <w:rPr>
                <w:rFonts w:ascii="宋体" w:hAnsi="宋体" w:eastAsia="宋体"/>
                <w:sz w:val="24"/>
              </w:rPr>
              <w:t>单位整体支出绩效自评表</w:t>
            </w:r>
          </w:p>
        </w:tc>
      </w:tr>
      <w:tr w14:paraId="7E8D25A2">
        <w:tblPrEx>
          <w:tblCellMar>
            <w:top w:w="0" w:type="dxa"/>
            <w:left w:w="108" w:type="dxa"/>
            <w:bottom w:w="0" w:type="dxa"/>
            <w:right w:w="108" w:type="dxa"/>
          </w:tblCellMar>
        </w:tblPrEx>
        <w:tc>
          <w:tcPr>
            <w:tcW w:w="8840" w:type="dxa"/>
            <w:gridSpan w:val="8"/>
            <w:vAlign w:val="center"/>
          </w:tcPr>
          <w:p w14:paraId="71E7E984">
            <w:pPr>
              <w:jc w:val="center"/>
            </w:pPr>
            <w:r>
              <w:rPr>
                <w:rFonts w:ascii="宋体" w:hAnsi="宋体" w:eastAsia="宋体"/>
                <w:sz w:val="24"/>
              </w:rPr>
              <w:t>（2024年度）</w:t>
            </w:r>
          </w:p>
        </w:tc>
      </w:tr>
      <w:tr w14:paraId="2AE30CF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AFE7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C96972">
            <w:pPr>
              <w:jc w:val="center"/>
            </w:pPr>
            <w:r>
              <w:rPr>
                <w:rFonts w:ascii="宋体" w:hAnsi="宋体" w:eastAsia="宋体"/>
                <w:sz w:val="16"/>
              </w:rPr>
              <w:t>托里县图书馆</w:t>
            </w:r>
          </w:p>
        </w:tc>
      </w:tr>
      <w:tr w14:paraId="4DD8B01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1DAA0">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1392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C08A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C7324">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564DD">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CE5FF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6C65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E40D7">
            <w:pPr>
              <w:jc w:val="center"/>
            </w:pPr>
            <w:r>
              <w:rPr>
                <w:rFonts w:ascii="宋体" w:hAnsi="宋体" w:eastAsia="宋体"/>
                <w:sz w:val="16"/>
              </w:rPr>
              <w:t>得分</w:t>
            </w:r>
          </w:p>
        </w:tc>
      </w:tr>
      <w:tr w14:paraId="7C8EDD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9542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C10B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3410D">
            <w:pPr>
              <w:jc w:val="center"/>
            </w:pPr>
            <w:r>
              <w:rPr>
                <w:rFonts w:ascii="宋体" w:hAnsi="宋体" w:eastAsia="宋体"/>
                <w:sz w:val="16"/>
              </w:rPr>
              <w:t>139.59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3BE6D4">
            <w:pPr>
              <w:jc w:val="center"/>
            </w:pPr>
            <w:r>
              <w:rPr>
                <w:rFonts w:ascii="宋体" w:hAnsi="宋体" w:eastAsia="宋体"/>
                <w:sz w:val="16"/>
              </w:rPr>
              <w:t>152.49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05660">
            <w:pPr>
              <w:jc w:val="center"/>
            </w:pPr>
            <w:r>
              <w:rPr>
                <w:rFonts w:ascii="宋体" w:hAnsi="宋体" w:eastAsia="宋体"/>
                <w:sz w:val="16"/>
              </w:rPr>
              <w:t>152.49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DD3D1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CBE24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5BB19">
            <w:pPr>
              <w:jc w:val="center"/>
            </w:pPr>
            <w:r>
              <w:rPr>
                <w:rFonts w:ascii="宋体" w:hAnsi="宋体" w:eastAsia="宋体"/>
                <w:sz w:val="16"/>
              </w:rPr>
              <w:t>10</w:t>
            </w:r>
          </w:p>
        </w:tc>
      </w:tr>
      <w:tr w14:paraId="0CBDCD2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2C7D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491B8">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A638CA">
            <w:pPr>
              <w:jc w:val="center"/>
            </w:pPr>
            <w:r>
              <w:rPr>
                <w:rFonts w:ascii="宋体" w:hAnsi="宋体" w:eastAsia="宋体"/>
                <w:sz w:val="16"/>
              </w:rPr>
              <w:t>20.00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C9223">
            <w:pPr>
              <w:jc w:val="center"/>
            </w:pPr>
            <w:r>
              <w:rPr>
                <w:rFonts w:ascii="宋体" w:hAnsi="宋体" w:eastAsia="宋体"/>
                <w:sz w:val="16"/>
              </w:rPr>
              <w:t>25.00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BA8907">
            <w:pPr>
              <w:jc w:val="center"/>
            </w:pPr>
            <w:r>
              <w:rPr>
                <w:rFonts w:ascii="宋体" w:hAnsi="宋体" w:eastAsia="宋体"/>
                <w:sz w:val="16"/>
              </w:rPr>
              <w:t>25.00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6F61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313B8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7332FC">
            <w:pPr>
              <w:jc w:val="center"/>
            </w:pPr>
            <w:r>
              <w:rPr>
                <w:rFonts w:ascii="宋体" w:hAnsi="宋体" w:eastAsia="宋体"/>
                <w:sz w:val="16"/>
              </w:rPr>
              <w:t>-</w:t>
            </w:r>
          </w:p>
        </w:tc>
      </w:tr>
      <w:tr w14:paraId="70AB09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312D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F9D1B">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F17145">
            <w:pPr>
              <w:jc w:val="center"/>
            </w:pPr>
            <w:r>
              <w:rPr>
                <w:rFonts w:ascii="宋体" w:hAnsi="宋体" w:eastAsia="宋体"/>
                <w:sz w:val="16"/>
              </w:rPr>
              <w:t>119.59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4EFC1">
            <w:pPr>
              <w:jc w:val="center"/>
            </w:pPr>
            <w:r>
              <w:rPr>
                <w:rFonts w:ascii="宋体" w:hAnsi="宋体" w:eastAsia="宋体"/>
                <w:sz w:val="16"/>
              </w:rPr>
              <w:t>127.49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4BBCA2">
            <w:pPr>
              <w:jc w:val="center"/>
            </w:pPr>
            <w:r>
              <w:rPr>
                <w:rFonts w:ascii="宋体" w:hAnsi="宋体" w:eastAsia="宋体"/>
                <w:sz w:val="16"/>
              </w:rPr>
              <w:t>127.49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23B65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0FF0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9F0CA">
            <w:pPr>
              <w:jc w:val="center"/>
            </w:pPr>
            <w:r>
              <w:rPr>
                <w:rFonts w:ascii="宋体" w:hAnsi="宋体" w:eastAsia="宋体"/>
                <w:sz w:val="16"/>
              </w:rPr>
              <w:t>-</w:t>
            </w:r>
          </w:p>
        </w:tc>
      </w:tr>
      <w:tr w14:paraId="66B0098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C6F1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ED2780">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0B0B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B6C5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A768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986E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C3F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0F887">
            <w:pPr>
              <w:jc w:val="center"/>
            </w:pPr>
            <w:r>
              <w:rPr>
                <w:rFonts w:ascii="宋体" w:hAnsi="宋体" w:eastAsia="宋体"/>
                <w:sz w:val="16"/>
              </w:rPr>
              <w:t>-</w:t>
            </w:r>
          </w:p>
        </w:tc>
      </w:tr>
      <w:tr w14:paraId="3C94B73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321A6">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6345D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CADF4C">
            <w:pPr>
              <w:jc w:val="center"/>
            </w:pPr>
            <w:r>
              <w:rPr>
                <w:rFonts w:ascii="宋体" w:hAnsi="宋体" w:eastAsia="宋体"/>
                <w:sz w:val="16"/>
              </w:rPr>
              <w:t>实际完成情况</w:t>
            </w:r>
          </w:p>
        </w:tc>
      </w:tr>
      <w:tr w14:paraId="60A479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D8045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E7DB2F">
            <w:pPr>
              <w:jc w:val="both"/>
            </w:pPr>
            <w:r>
              <w:rPr>
                <w:rFonts w:ascii="宋体" w:hAnsi="宋体" w:eastAsia="宋体"/>
                <w:sz w:val="16"/>
              </w:rPr>
              <w:t>2024年，托里县文化馆将继续深入开展 “文化润疆”工程，县委、县政府及本单位积极谋划，扎实推进美术馆、图书馆、文化馆（站）免费开放数量，开展群众性文化活动不少于40场次、文化下乡演出培训不少于15场次，免费开放数量不少于300天，丰富人民群众的精神文化生活的要求，充分发挥“三馆一站”在提高公民鉴赏能力、提高各族群众思想道德和科学文化素质的作用，保障各族群众基本权益，促进社会和谐稳定。</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1BEE04">
            <w:pPr>
              <w:jc w:val="both"/>
            </w:pPr>
            <w:r>
              <w:rPr>
                <w:rFonts w:ascii="宋体" w:hAnsi="宋体" w:eastAsia="宋体"/>
                <w:sz w:val="16"/>
              </w:rPr>
              <w:t>2024</w:t>
            </w:r>
            <w:r>
              <w:rPr>
                <w:rFonts w:hint="eastAsia" w:ascii="宋体" w:hAnsi="宋体"/>
                <w:sz w:val="16"/>
                <w:lang w:eastAsia="zh-CN"/>
              </w:rPr>
              <w:t>年</w:t>
            </w:r>
            <w:r>
              <w:rPr>
                <w:rFonts w:ascii="宋体" w:hAnsi="宋体" w:eastAsia="宋体"/>
                <w:sz w:val="16"/>
              </w:rPr>
              <w:t>度托里县文化馆始终坚持服务社会公众的方向，结合实际，认真落实工作的方针、政策，加强队伍、业务建设，常态化免费开放场馆1个，全年免费开放已达到300天，开展群众性文化活动40场次、文化下乡演出培训15场次、文化馆群众文化宣传活动15场次，免费开放绩效考评率达到100%。极大地完善群众文化的各项功能，开辟我县群众文化的新局面，为构建和谐托里做出贡献。</w:t>
            </w:r>
          </w:p>
        </w:tc>
      </w:tr>
      <w:tr w14:paraId="6AF65D9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DB61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2B2A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09D1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7280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A2D8B">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5DE4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09A18">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CB56A">
            <w:pPr>
              <w:jc w:val="center"/>
            </w:pPr>
            <w:r>
              <w:rPr>
                <w:rFonts w:ascii="宋体" w:hAnsi="宋体" w:eastAsia="宋体"/>
                <w:sz w:val="16"/>
              </w:rPr>
              <w:t>得分</w:t>
            </w:r>
          </w:p>
        </w:tc>
      </w:tr>
      <w:tr w14:paraId="271F82B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F669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6C25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0DF07C">
            <w:pPr>
              <w:jc w:val="center"/>
            </w:pPr>
            <w:r>
              <w:rPr>
                <w:rFonts w:ascii="宋体" w:hAnsi="宋体" w:eastAsia="宋体"/>
                <w:sz w:val="16"/>
              </w:rPr>
              <w:t>免费开放场馆数量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6E541D">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C0E13">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55A0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1FE5B6">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D80B80">
            <w:pPr>
              <w:jc w:val="center"/>
            </w:pPr>
            <w:r>
              <w:rPr>
                <w:rFonts w:ascii="宋体" w:hAnsi="宋体" w:eastAsia="宋体"/>
                <w:sz w:val="16"/>
              </w:rPr>
              <w:t>15</w:t>
            </w:r>
          </w:p>
        </w:tc>
      </w:tr>
      <w:tr w14:paraId="6BCCD1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E8C64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54CC4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21691">
            <w:pPr>
              <w:jc w:val="center"/>
            </w:pPr>
            <w:r>
              <w:rPr>
                <w:rFonts w:ascii="宋体" w:hAnsi="宋体" w:eastAsia="宋体"/>
                <w:sz w:val="16"/>
              </w:rPr>
              <w:t>开展全民阅读培训活动场次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00E6D">
            <w:pPr>
              <w:jc w:val="center"/>
            </w:pPr>
            <w:r>
              <w:rPr>
                <w:rFonts w:ascii="宋体" w:hAnsi="宋体" w:eastAsia="宋体"/>
                <w:sz w:val="16"/>
              </w:rPr>
              <w:t>&gt;=10场次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59DA86">
            <w:pPr>
              <w:jc w:val="center"/>
            </w:pPr>
            <w:r>
              <w:rPr>
                <w:rFonts w:ascii="宋体" w:hAnsi="宋体" w:eastAsia="宋体"/>
                <w:sz w:val="16"/>
              </w:rPr>
              <w:t>2025年工作计划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F6072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95861">
            <w:pPr>
              <w:jc w:val="center"/>
            </w:pPr>
            <w:r>
              <w:rPr>
                <w:rFonts w:ascii="宋体" w:hAnsi="宋体" w:eastAsia="宋体"/>
                <w:sz w:val="16"/>
              </w:rPr>
              <w:t>&gt;=10场次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E1999">
            <w:pPr>
              <w:jc w:val="center"/>
            </w:pPr>
            <w:r>
              <w:rPr>
                <w:rFonts w:ascii="宋体" w:hAnsi="宋体" w:eastAsia="宋体"/>
                <w:sz w:val="16"/>
              </w:rPr>
              <w:t>15</w:t>
            </w:r>
          </w:p>
        </w:tc>
      </w:tr>
      <w:tr w14:paraId="69FDD6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622F6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2568C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E51ED9">
            <w:pPr>
              <w:jc w:val="center"/>
            </w:pPr>
            <w:r>
              <w:rPr>
                <w:rFonts w:hint="eastAsia" w:ascii="宋体" w:hAnsi="宋体"/>
                <w:sz w:val="16"/>
                <w:lang w:eastAsia="zh-CN"/>
              </w:rPr>
              <w:t>开展</w:t>
            </w:r>
            <w:r>
              <w:rPr>
                <w:rFonts w:ascii="宋体" w:hAnsi="宋体" w:eastAsia="宋体"/>
                <w:sz w:val="16"/>
              </w:rPr>
              <w:t>全民阅读推广、宣传活动次数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2555B7">
            <w:pPr>
              <w:jc w:val="center"/>
            </w:pPr>
            <w:r>
              <w:rPr>
                <w:rFonts w:ascii="宋体" w:hAnsi="宋体" w:eastAsia="宋体"/>
                <w:sz w:val="16"/>
              </w:rPr>
              <w:t>&gt;=10场次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1F32D">
            <w:pPr>
              <w:jc w:val="center"/>
            </w:pPr>
            <w:r>
              <w:rPr>
                <w:rFonts w:ascii="宋体" w:hAnsi="宋体" w:eastAsia="宋体"/>
                <w:sz w:val="16"/>
              </w:rPr>
              <w:t>2026年工作计划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7D8A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B621C">
            <w:pPr>
              <w:jc w:val="center"/>
            </w:pPr>
            <w:r>
              <w:rPr>
                <w:rFonts w:ascii="宋体" w:hAnsi="宋体" w:eastAsia="宋体"/>
                <w:sz w:val="16"/>
              </w:rPr>
              <w:t>&gt;=10场次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C4505">
            <w:pPr>
              <w:jc w:val="center"/>
            </w:pPr>
            <w:r>
              <w:rPr>
                <w:rFonts w:ascii="宋体" w:hAnsi="宋体" w:eastAsia="宋体"/>
                <w:sz w:val="16"/>
              </w:rPr>
              <w:t>15</w:t>
            </w:r>
          </w:p>
        </w:tc>
      </w:tr>
      <w:tr w14:paraId="73F8B0B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1400A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E5B8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48ECAB">
            <w:pPr>
              <w:jc w:val="center"/>
            </w:pPr>
            <w:r>
              <w:rPr>
                <w:rFonts w:ascii="宋体" w:hAnsi="宋体" w:eastAsia="宋体"/>
                <w:sz w:val="16"/>
              </w:rPr>
              <w:t>送书下乡服务活动场次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342FDB">
            <w:pPr>
              <w:jc w:val="center"/>
            </w:pPr>
            <w:r>
              <w:rPr>
                <w:rFonts w:ascii="宋体" w:hAnsi="宋体" w:eastAsia="宋体"/>
                <w:sz w:val="16"/>
              </w:rPr>
              <w:t>&gt;=20场次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A54E7">
            <w:pPr>
              <w:jc w:val="center"/>
            </w:pPr>
            <w:r>
              <w:rPr>
                <w:rFonts w:ascii="宋体" w:hAnsi="宋体" w:eastAsia="宋体"/>
                <w:sz w:val="16"/>
              </w:rPr>
              <w:t>2027年工作计划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9F1C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61951">
            <w:pPr>
              <w:jc w:val="center"/>
            </w:pPr>
            <w:r>
              <w:rPr>
                <w:rFonts w:ascii="宋体" w:hAnsi="宋体" w:eastAsia="宋体"/>
                <w:sz w:val="16"/>
              </w:rPr>
              <w:t>&gt;=20场次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C6749">
            <w:pPr>
              <w:jc w:val="center"/>
            </w:pPr>
            <w:r>
              <w:rPr>
                <w:rFonts w:ascii="宋体" w:hAnsi="宋体" w:eastAsia="宋体"/>
                <w:sz w:val="16"/>
              </w:rPr>
              <w:t>15</w:t>
            </w:r>
          </w:p>
        </w:tc>
      </w:tr>
      <w:tr w14:paraId="21A8252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D3215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70B3A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D9830">
            <w:pPr>
              <w:jc w:val="center"/>
            </w:pPr>
            <w:r>
              <w:rPr>
                <w:rFonts w:ascii="宋体" w:hAnsi="宋体" w:eastAsia="宋体"/>
                <w:sz w:val="16"/>
              </w:rPr>
              <w:t>场馆免费开放天数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20F8B">
            <w:pPr>
              <w:jc w:val="center"/>
            </w:pPr>
            <w:r>
              <w:rPr>
                <w:rFonts w:ascii="宋体" w:hAnsi="宋体" w:eastAsia="宋体"/>
                <w:sz w:val="16"/>
              </w:rPr>
              <w:t>&gt;=300天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BA2D1">
            <w:pPr>
              <w:jc w:val="center"/>
            </w:pPr>
            <w:r>
              <w:rPr>
                <w:rFonts w:ascii="宋体" w:hAnsi="宋体" w:eastAsia="宋体"/>
                <w:sz w:val="16"/>
              </w:rPr>
              <w:t>2028年工作计划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A0635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0D544">
            <w:pPr>
              <w:jc w:val="center"/>
            </w:pPr>
            <w:r>
              <w:rPr>
                <w:rFonts w:ascii="宋体" w:hAnsi="宋体" w:eastAsia="宋体"/>
                <w:sz w:val="16"/>
              </w:rPr>
              <w:t>&gt;=300天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C4C70">
            <w:pPr>
              <w:jc w:val="center"/>
            </w:pPr>
            <w:r>
              <w:rPr>
                <w:rFonts w:ascii="宋体" w:hAnsi="宋体" w:eastAsia="宋体"/>
                <w:sz w:val="16"/>
              </w:rPr>
              <w:t>15</w:t>
            </w:r>
          </w:p>
        </w:tc>
      </w:tr>
      <w:tr w14:paraId="353FB0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2FE0E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930EE">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53D98">
            <w:pPr>
              <w:jc w:val="center"/>
            </w:pPr>
            <w:r>
              <w:rPr>
                <w:rFonts w:ascii="宋体" w:hAnsi="宋体" w:eastAsia="宋体"/>
                <w:sz w:val="16"/>
              </w:rPr>
              <w:t>免费开放绩效考评率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A321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813BA">
            <w:pPr>
              <w:jc w:val="center"/>
            </w:pPr>
            <w:r>
              <w:rPr>
                <w:rFonts w:ascii="宋体" w:hAnsi="宋体" w:eastAsia="宋体"/>
                <w:sz w:val="16"/>
              </w:rPr>
              <w:t>2029年工作计划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61B9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2B685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D0A78">
            <w:pPr>
              <w:jc w:val="center"/>
            </w:pPr>
            <w:r>
              <w:rPr>
                <w:rFonts w:ascii="宋体" w:hAnsi="宋体" w:eastAsia="宋体"/>
                <w:sz w:val="16"/>
              </w:rPr>
              <w:t>15</w:t>
            </w:r>
          </w:p>
        </w:tc>
      </w:tr>
    </w:tbl>
    <w:p w14:paraId="2C59D6F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96"/>
        <w:gridCol w:w="632"/>
      </w:tblGrid>
      <w:tr w14:paraId="0B95A7DC">
        <w:tblPrEx>
          <w:tblCellMar>
            <w:top w:w="0" w:type="dxa"/>
            <w:left w:w="108" w:type="dxa"/>
            <w:bottom w:w="0" w:type="dxa"/>
            <w:right w:w="108" w:type="dxa"/>
          </w:tblCellMar>
        </w:tblPrEx>
        <w:tc>
          <w:tcPr>
            <w:tcW w:w="8848" w:type="dxa"/>
            <w:gridSpan w:val="14"/>
            <w:vAlign w:val="center"/>
          </w:tcPr>
          <w:p w14:paraId="36C3C333">
            <w:pPr>
              <w:jc w:val="center"/>
            </w:pPr>
            <w:r>
              <w:rPr>
                <w:rFonts w:ascii="宋体" w:hAnsi="宋体" w:eastAsia="宋体"/>
                <w:sz w:val="24"/>
              </w:rPr>
              <w:t>项目支出绩效自评表</w:t>
            </w:r>
          </w:p>
        </w:tc>
      </w:tr>
      <w:tr w14:paraId="21F2BB6C">
        <w:tblPrEx>
          <w:tblCellMar>
            <w:top w:w="0" w:type="dxa"/>
            <w:left w:w="108" w:type="dxa"/>
            <w:bottom w:w="0" w:type="dxa"/>
            <w:right w:w="108" w:type="dxa"/>
          </w:tblCellMar>
        </w:tblPrEx>
        <w:tc>
          <w:tcPr>
            <w:tcW w:w="8848" w:type="dxa"/>
            <w:gridSpan w:val="14"/>
            <w:vAlign w:val="center"/>
          </w:tcPr>
          <w:p w14:paraId="642C063C">
            <w:pPr>
              <w:jc w:val="center"/>
            </w:pPr>
            <w:r>
              <w:rPr>
                <w:rFonts w:ascii="宋体" w:hAnsi="宋体" w:eastAsia="宋体"/>
                <w:sz w:val="24"/>
              </w:rPr>
              <w:t>(2024年度)</w:t>
            </w:r>
          </w:p>
        </w:tc>
      </w:tr>
      <w:tr w14:paraId="03D149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8D5A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EB0AF7">
            <w:pPr>
              <w:jc w:val="center"/>
            </w:pPr>
            <w:r>
              <w:rPr>
                <w:rFonts w:ascii="宋体" w:hAnsi="宋体" w:eastAsia="宋体"/>
                <w:sz w:val="16"/>
              </w:rPr>
              <w:t>托里县图书馆2024年图书馆免费开放项目</w:t>
            </w:r>
          </w:p>
        </w:tc>
      </w:tr>
      <w:tr w14:paraId="2A7306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E60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0586C8">
            <w:pPr>
              <w:jc w:val="center"/>
            </w:pPr>
            <w:r>
              <w:rPr>
                <w:rFonts w:ascii="宋体" w:hAnsi="宋体" w:eastAsia="宋体"/>
                <w:sz w:val="16"/>
              </w:rPr>
              <w:t>托里县图书馆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58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51E6C5">
            <w:pPr>
              <w:jc w:val="center"/>
            </w:pPr>
            <w:r>
              <w:rPr>
                <w:rFonts w:ascii="宋体" w:hAnsi="宋体" w:eastAsia="宋体"/>
                <w:sz w:val="16"/>
              </w:rPr>
              <w:t>托里县图书馆</w:t>
            </w:r>
          </w:p>
        </w:tc>
      </w:tr>
      <w:tr w14:paraId="7AD497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CECB3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56E5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A46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9943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50A6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6BA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824B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E88A6">
            <w:pPr>
              <w:jc w:val="center"/>
            </w:pPr>
            <w:r>
              <w:rPr>
                <w:rFonts w:ascii="宋体" w:hAnsi="宋体" w:eastAsia="宋体"/>
                <w:sz w:val="16"/>
              </w:rPr>
              <w:t>得分</w:t>
            </w:r>
          </w:p>
        </w:tc>
      </w:tr>
      <w:tr w14:paraId="5D7EBE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FC4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B4CC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02EEC">
            <w:pPr>
              <w:jc w:val="center"/>
            </w:pPr>
            <w:r>
              <w:rPr>
                <w:rFonts w:ascii="宋体" w:hAnsi="宋体" w:eastAsia="宋体"/>
                <w:sz w:val="16"/>
              </w:rPr>
              <w:t>23.70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89C6E">
            <w:pPr>
              <w:jc w:val="center"/>
            </w:pPr>
            <w:r>
              <w:rPr>
                <w:rFonts w:ascii="宋体" w:hAnsi="宋体" w:eastAsia="宋体"/>
                <w:sz w:val="16"/>
              </w:rPr>
              <w:t>23.70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1E21A">
            <w:pPr>
              <w:jc w:val="center"/>
            </w:pPr>
            <w:r>
              <w:rPr>
                <w:rFonts w:ascii="宋体" w:hAnsi="宋体" w:eastAsia="宋体"/>
                <w:sz w:val="16"/>
              </w:rPr>
              <w:t>23.70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62D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C8C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D266">
            <w:pPr>
              <w:jc w:val="center"/>
            </w:pPr>
            <w:r>
              <w:rPr>
                <w:rFonts w:ascii="宋体" w:hAnsi="宋体" w:eastAsia="宋体"/>
                <w:sz w:val="16"/>
              </w:rPr>
              <w:t>10.00</w:t>
            </w:r>
          </w:p>
        </w:tc>
      </w:tr>
      <w:tr w14:paraId="3E4AA9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7C1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9B3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C27DD">
            <w:pPr>
              <w:jc w:val="center"/>
            </w:pPr>
            <w:r>
              <w:rPr>
                <w:rFonts w:ascii="宋体" w:hAnsi="宋体" w:eastAsia="宋体"/>
                <w:sz w:val="16"/>
              </w:rPr>
              <w:t>23.70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CAEFD">
            <w:pPr>
              <w:jc w:val="center"/>
            </w:pPr>
            <w:r>
              <w:rPr>
                <w:rFonts w:ascii="宋体" w:hAnsi="宋体" w:eastAsia="宋体"/>
                <w:sz w:val="16"/>
              </w:rPr>
              <w:t>23.70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87B12">
            <w:pPr>
              <w:jc w:val="center"/>
            </w:pPr>
            <w:r>
              <w:rPr>
                <w:rFonts w:ascii="宋体" w:hAnsi="宋体" w:eastAsia="宋体"/>
                <w:sz w:val="16"/>
              </w:rPr>
              <w:t>23.70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C3D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B92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B7D63">
            <w:pPr>
              <w:jc w:val="center"/>
            </w:pPr>
            <w:r>
              <w:rPr>
                <w:rFonts w:ascii="宋体" w:hAnsi="宋体" w:eastAsia="宋体"/>
                <w:sz w:val="16"/>
              </w:rPr>
              <w:t>—</w:t>
            </w:r>
          </w:p>
        </w:tc>
      </w:tr>
      <w:tr w14:paraId="0A4F82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AC6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8AB9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315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A9E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546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5D8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469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3235">
            <w:pPr>
              <w:jc w:val="center"/>
            </w:pPr>
            <w:r>
              <w:rPr>
                <w:rFonts w:ascii="宋体" w:hAnsi="宋体" w:eastAsia="宋体"/>
                <w:sz w:val="16"/>
              </w:rPr>
              <w:t>—</w:t>
            </w:r>
          </w:p>
        </w:tc>
      </w:tr>
      <w:tr w14:paraId="3E08B2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21CD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5FCD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151882">
            <w:pPr>
              <w:jc w:val="center"/>
            </w:pPr>
            <w:r>
              <w:rPr>
                <w:rFonts w:ascii="宋体" w:hAnsi="宋体" w:eastAsia="宋体"/>
                <w:sz w:val="16"/>
              </w:rPr>
              <w:t>实际完成情况</w:t>
            </w:r>
          </w:p>
        </w:tc>
      </w:tr>
      <w:tr w14:paraId="76E60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E025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84B931">
            <w:pPr>
              <w:jc w:val="both"/>
            </w:pPr>
            <w:r>
              <w:rPr>
                <w:rFonts w:ascii="宋体" w:hAnsi="宋体" w:eastAsia="宋体"/>
                <w:sz w:val="16"/>
              </w:rPr>
              <w:t>项目资金23.7万元，主要用于图书馆免费开放，活动50场次，为免费开放服务人员1人发放劳务费。文献资源借阅、检索与咨询，举办公益性讲座、展览，开展阅读推广、宣传活动，基层文化骨干业务辅导，文化信息资源共享工程、公共电子阅览室服务及设备及运行维护，流动图书借阅与送书下乡服务，业务活动用房小型修缮及零星业务设备更新等组织公益性群众文化活动，社会公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DB6901">
            <w:pPr>
              <w:jc w:val="both"/>
            </w:pPr>
            <w:r>
              <w:rPr>
                <w:rFonts w:ascii="宋体" w:hAnsi="宋体" w:eastAsia="宋体"/>
                <w:sz w:val="16"/>
              </w:rPr>
              <w:t>项目资金23.7万元，主要用于图书馆免费开放，活动50场次，为免费开放服务人员1人发放劳务费。文献资源借阅、检索与咨询，举办公益性讲座、展览，开展阅读推广、宣传活动，基层文化骨干业务辅导，文化信息资源共享工程、公共电子阅览室服务及设备及运行维护，流动图书借阅与送书下乡服务，业务活动用房小型修缮及零星业务设备更新等组织公益性群众文化活动，社会公众满意度达到95%。</w:t>
            </w:r>
          </w:p>
        </w:tc>
      </w:tr>
      <w:tr w14:paraId="213AAC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C16D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C16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36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A1E3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6663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468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221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DA51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B053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501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A716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EF15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3E83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D7B6E">
            <w:pPr>
              <w:jc w:val="center"/>
            </w:pPr>
            <w:r>
              <w:rPr>
                <w:rFonts w:ascii="宋体" w:hAnsi="宋体" w:eastAsia="宋体"/>
                <w:sz w:val="16"/>
              </w:rPr>
              <w:t>偏差原因分析及改进措施</w:t>
            </w:r>
          </w:p>
        </w:tc>
      </w:tr>
      <w:tr w14:paraId="518052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5664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5EAE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D24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02FDF">
            <w:pPr>
              <w:jc w:val="center"/>
            </w:pPr>
            <w:r>
              <w:rPr>
                <w:rFonts w:ascii="宋体" w:hAnsi="宋体" w:eastAsia="宋体"/>
                <w:sz w:val="16"/>
              </w:rPr>
              <w:t>免费开放文化馆数量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87C4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01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A16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508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D23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568AB">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7ECB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4D0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532F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BFEE9">
            <w:pPr>
              <w:jc w:val="center"/>
            </w:pPr>
          </w:p>
        </w:tc>
      </w:tr>
      <w:tr w14:paraId="1F7229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1BF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9F4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FC0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1820">
            <w:pPr>
              <w:jc w:val="center"/>
            </w:pPr>
            <w:r>
              <w:rPr>
                <w:rFonts w:ascii="宋体" w:hAnsi="宋体" w:eastAsia="宋体"/>
                <w:sz w:val="16"/>
              </w:rPr>
              <w:t>图书活动次数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798BD">
            <w:pPr>
              <w:jc w:val="center"/>
            </w:pPr>
            <w:r>
              <w:rPr>
                <w:rFonts w:ascii="宋体" w:hAnsi="宋体" w:eastAsia="宋体"/>
                <w:sz w:val="16"/>
              </w:rPr>
              <w:t>&gt;=50场次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0A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4CC66">
            <w:pPr>
              <w:jc w:val="center"/>
            </w:pPr>
            <w:r>
              <w:rPr>
                <w:rFonts w:ascii="宋体" w:hAnsi="宋体" w:eastAsia="宋体"/>
                <w:sz w:val="16"/>
              </w:rPr>
              <w:t>68场次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5A0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E0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636FD">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F606B">
            <w:pPr>
              <w:jc w:val="center"/>
            </w:pPr>
            <w:r>
              <w:rPr>
                <w:rFonts w:ascii="宋体" w:hAnsi="宋体" w:eastAsia="宋体"/>
                <w:sz w:val="16"/>
              </w:rPr>
              <w:t>=50场次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57B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126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83122">
            <w:pPr>
              <w:jc w:val="center"/>
            </w:pPr>
          </w:p>
        </w:tc>
      </w:tr>
      <w:tr w14:paraId="43735E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2BB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D6C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128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3EA4C">
            <w:pPr>
              <w:jc w:val="center"/>
            </w:pPr>
            <w:r>
              <w:rPr>
                <w:rFonts w:ascii="宋体" w:hAnsi="宋体" w:eastAsia="宋体"/>
                <w:sz w:val="16"/>
              </w:rPr>
              <w:t>免费开放服务人员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E15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248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10B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9015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705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F93A2">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9964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8D3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3473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5650">
            <w:pPr>
              <w:jc w:val="center"/>
            </w:pPr>
          </w:p>
        </w:tc>
      </w:tr>
      <w:tr w14:paraId="58BB10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198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7A7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2E8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0E5BC">
            <w:pPr>
              <w:jc w:val="center"/>
            </w:pPr>
            <w:r>
              <w:rPr>
                <w:rFonts w:ascii="宋体" w:hAnsi="宋体" w:eastAsia="宋体"/>
                <w:sz w:val="16"/>
              </w:rPr>
              <w:t>免费开放绩效考评率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C98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63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6E7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B06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1A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8FC37">
            <w:pPr>
              <w:jc w:val="center"/>
            </w:pPr>
            <w:r>
              <w:rPr>
                <w:rFonts w:ascii="宋体" w:hAnsi="宋体" w:eastAsia="宋体"/>
                <w:sz w:val="16"/>
              </w:rPr>
              <w:t>工作资料,正式材料,说明材料,原始凭证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E3F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8F9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9ACD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3512">
            <w:pPr>
              <w:jc w:val="center"/>
            </w:pPr>
          </w:p>
        </w:tc>
      </w:tr>
      <w:tr w14:paraId="4F24A5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6C2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432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4E5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598A">
            <w:pPr>
              <w:jc w:val="center"/>
            </w:pPr>
            <w:r>
              <w:rPr>
                <w:rFonts w:ascii="宋体" w:hAnsi="宋体" w:eastAsia="宋体"/>
                <w:sz w:val="16"/>
              </w:rPr>
              <w:t>免费开放资金支付及时率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986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05A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56C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A165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58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056FE">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997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69B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5CAA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03D2">
            <w:pPr>
              <w:jc w:val="center"/>
            </w:pPr>
          </w:p>
        </w:tc>
      </w:tr>
      <w:tr w14:paraId="6F0C2E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819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F99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38E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24EE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57376">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A0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03CD">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0A4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C67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1BDA9">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4341F">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FD5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DEDB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1E920">
            <w:pPr>
              <w:jc w:val="center"/>
            </w:pPr>
          </w:p>
        </w:tc>
      </w:tr>
      <w:tr w14:paraId="6A837F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689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FC11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394E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0C21">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1308">
            <w:pPr>
              <w:jc w:val="center"/>
            </w:pPr>
            <w:r>
              <w:rPr>
                <w:rFonts w:ascii="宋体" w:hAnsi="宋体" w:eastAsia="宋体"/>
                <w:sz w:val="16"/>
              </w:rPr>
              <w:t>&lt;=6.2万元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C0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A3E1">
            <w:pPr>
              <w:jc w:val="center"/>
            </w:pPr>
            <w:r>
              <w:rPr>
                <w:rFonts w:ascii="宋体" w:hAnsi="宋体" w:eastAsia="宋体"/>
                <w:sz w:val="16"/>
              </w:rPr>
              <w:t>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710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85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5F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4AC9E">
            <w:pPr>
              <w:jc w:val="center"/>
            </w:pPr>
            <w:r>
              <w:rPr>
                <w:rFonts w:ascii="宋体" w:hAnsi="宋体" w:eastAsia="宋体"/>
                <w:sz w:val="16"/>
              </w:rPr>
              <w:t>=6.2万元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A75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AC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3A8D2">
            <w:pPr>
              <w:jc w:val="center"/>
            </w:pPr>
          </w:p>
        </w:tc>
      </w:tr>
      <w:tr w14:paraId="3DD183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054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645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C55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2AAD">
            <w:pPr>
              <w:jc w:val="center"/>
            </w:pPr>
            <w:r>
              <w:rPr>
                <w:rFonts w:ascii="宋体" w:hAnsi="宋体" w:eastAsia="宋体"/>
                <w:sz w:val="16"/>
              </w:rPr>
              <w:t>免费开放资金活动费用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A9DDE">
            <w:pPr>
              <w:jc w:val="center"/>
            </w:pPr>
            <w:r>
              <w:rPr>
                <w:rFonts w:ascii="宋体" w:hAnsi="宋体" w:eastAsia="宋体"/>
                <w:sz w:val="16"/>
              </w:rPr>
              <w:t>&lt;=17.50万元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0A7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9820">
            <w:pPr>
              <w:jc w:val="center"/>
            </w:pPr>
            <w:r>
              <w:rPr>
                <w:rFonts w:ascii="宋体" w:hAnsi="宋体" w:eastAsia="宋体"/>
                <w:sz w:val="16"/>
              </w:rPr>
              <w:t>17.5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2162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4E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CA7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F37BB">
            <w:pPr>
              <w:jc w:val="center"/>
            </w:pPr>
            <w:r>
              <w:rPr>
                <w:rFonts w:ascii="宋体" w:hAnsi="宋体" w:eastAsia="宋体"/>
                <w:sz w:val="16"/>
              </w:rPr>
              <w: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E84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ED66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9E6B7">
            <w:pPr>
              <w:jc w:val="center"/>
            </w:pPr>
          </w:p>
        </w:tc>
      </w:tr>
      <w:tr w14:paraId="79F25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43D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23CA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7B5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C158E">
            <w:pPr>
              <w:jc w:val="center"/>
            </w:pPr>
            <w:r>
              <w:rPr>
                <w:rFonts w:ascii="宋体" w:hAnsi="宋体" w:eastAsia="宋体"/>
                <w:sz w:val="16"/>
              </w:rPr>
              <w:t>提高文化文艺覆盖面影响力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872C">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939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ED868">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B9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BF92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88C7">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65404">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A97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A60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416E0">
            <w:pPr>
              <w:jc w:val="center"/>
            </w:pPr>
          </w:p>
        </w:tc>
      </w:tr>
      <w:tr w14:paraId="37C5F1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30B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A6E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055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B3CD">
            <w:pPr>
              <w:jc w:val="center"/>
            </w:pPr>
            <w:r>
              <w:rPr>
                <w:rFonts w:ascii="宋体" w:hAnsi="宋体" w:eastAsia="宋体"/>
                <w:sz w:val="16"/>
              </w:rPr>
              <w:t>持续满足群众精神文化需求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A267C">
            <w:pPr>
              <w:jc w:val="center"/>
            </w:pPr>
            <w:r>
              <w:rPr>
                <w:rFonts w:ascii="宋体" w:hAnsi="宋体" w:eastAsia="宋体"/>
                <w:sz w:val="16"/>
              </w:rPr>
              <w:t>有效满足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6F0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7118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E2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AC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608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2E285">
            <w:pPr>
              <w:jc w:val="center"/>
            </w:pPr>
            <w:r>
              <w:rPr>
                <w:rFonts w:ascii="宋体" w:hAnsi="宋体" w:eastAsia="宋体"/>
                <w:sz w:val="16"/>
              </w:rPr>
              <w:t>有效满足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E7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B8D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17F5">
            <w:pPr>
              <w:jc w:val="center"/>
            </w:pPr>
          </w:p>
        </w:tc>
      </w:tr>
      <w:tr w14:paraId="307A0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BEA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D9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5AC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48C3">
            <w:pPr>
              <w:jc w:val="center"/>
            </w:pPr>
            <w:r>
              <w:rPr>
                <w:rFonts w:ascii="宋体" w:hAnsi="宋体" w:eastAsia="宋体"/>
                <w:sz w:val="16"/>
              </w:rPr>
              <w:t>观看群众满意度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592D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B6C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33A6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CA4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2440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852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2C7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68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9C1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72E9">
            <w:pPr>
              <w:jc w:val="center"/>
            </w:pPr>
          </w:p>
        </w:tc>
      </w:tr>
      <w:tr w14:paraId="12F0DBF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9FE5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386D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0EF9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A4F6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C6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049B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96E5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86C4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E9B3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038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5BAF2F"/>
        </w:tc>
      </w:tr>
    </w:tbl>
    <w:p w14:paraId="589CB360">
      <w:r>
        <w:br w:type="page"/>
      </w:r>
    </w:p>
    <w:p w14:paraId="065536C2">
      <w:pPr>
        <w:spacing w:line="640" w:lineRule="exact"/>
        <w:ind w:firstLine="640"/>
        <w:jc w:val="both"/>
        <w:outlineLvl w:val="2"/>
      </w:pPr>
      <w:r>
        <w:rPr>
          <w:rFonts w:ascii="黑体" w:hAnsi="黑体" w:eastAsia="黑体"/>
          <w:sz w:val="32"/>
        </w:rPr>
        <w:t>十二、其他需说明的事项</w:t>
      </w:r>
    </w:p>
    <w:p w14:paraId="4A1D2B2C">
      <w:pPr>
        <w:spacing w:line="580" w:lineRule="exact"/>
        <w:ind w:firstLine="640"/>
        <w:jc w:val="both"/>
      </w:pPr>
      <w:r>
        <w:rPr>
          <w:rFonts w:ascii="仿宋_GB2312" w:hAnsi="仿宋_GB2312" w:eastAsia="仿宋_GB2312"/>
          <w:b w:val="0"/>
          <w:sz w:val="32"/>
        </w:rPr>
        <w:t>本单位无其他需说明的事项。</w:t>
      </w:r>
    </w:p>
    <w:p w14:paraId="7F4B372C">
      <w:r>
        <w:br w:type="page"/>
      </w:r>
    </w:p>
    <w:p w14:paraId="5ED3BD3E">
      <w:pPr>
        <w:spacing w:line="240" w:lineRule="auto"/>
        <w:jc w:val="center"/>
        <w:outlineLvl w:val="1"/>
      </w:pPr>
      <w:r>
        <w:rPr>
          <w:rFonts w:ascii="黑体" w:hAnsi="黑体" w:eastAsia="黑体"/>
          <w:sz w:val="32"/>
        </w:rPr>
        <w:t>第三部分 专业名词解释</w:t>
      </w:r>
    </w:p>
    <w:p w14:paraId="1F1F405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551210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2D1B96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7B4E42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972F33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64E047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360E94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193619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41246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E82266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DAC637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508489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50A14F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850FFB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9FBB57D">
      <w:r>
        <w:br w:type="page"/>
      </w:r>
    </w:p>
    <w:p w14:paraId="319FFF17">
      <w:pPr>
        <w:spacing w:line="240" w:lineRule="auto"/>
        <w:jc w:val="center"/>
        <w:outlineLvl w:val="1"/>
      </w:pPr>
      <w:r>
        <w:rPr>
          <w:rFonts w:ascii="黑体" w:hAnsi="黑体" w:eastAsia="黑体"/>
          <w:sz w:val="32"/>
        </w:rPr>
        <w:t>第四部分 部门决算报表（见附表）</w:t>
      </w:r>
    </w:p>
    <w:p w14:paraId="2359548A">
      <w:pPr>
        <w:spacing w:line="240" w:lineRule="auto"/>
        <w:ind w:firstLine="640"/>
        <w:jc w:val="both"/>
      </w:pPr>
      <w:r>
        <w:rPr>
          <w:rFonts w:ascii="仿宋_GB2312" w:hAnsi="仿宋_GB2312" w:eastAsia="仿宋_GB2312"/>
          <w:b w:val="0"/>
          <w:sz w:val="32"/>
        </w:rPr>
        <w:t>一、《收入支出决算总表》</w:t>
      </w:r>
    </w:p>
    <w:p w14:paraId="2A9CF420">
      <w:pPr>
        <w:spacing w:line="240" w:lineRule="auto"/>
        <w:ind w:firstLine="640"/>
        <w:jc w:val="both"/>
      </w:pPr>
      <w:r>
        <w:rPr>
          <w:rFonts w:ascii="仿宋_GB2312" w:hAnsi="仿宋_GB2312" w:eastAsia="仿宋_GB2312"/>
          <w:b w:val="0"/>
          <w:sz w:val="32"/>
        </w:rPr>
        <w:t>二、《收入决算表》</w:t>
      </w:r>
    </w:p>
    <w:p w14:paraId="14203465">
      <w:pPr>
        <w:spacing w:line="240" w:lineRule="auto"/>
        <w:ind w:firstLine="640"/>
        <w:jc w:val="both"/>
      </w:pPr>
      <w:r>
        <w:rPr>
          <w:rFonts w:ascii="仿宋_GB2312" w:hAnsi="仿宋_GB2312" w:eastAsia="仿宋_GB2312"/>
          <w:b w:val="0"/>
          <w:sz w:val="32"/>
        </w:rPr>
        <w:t>三、《支出决算表》</w:t>
      </w:r>
    </w:p>
    <w:p w14:paraId="56067E6A">
      <w:pPr>
        <w:spacing w:line="240" w:lineRule="auto"/>
        <w:ind w:firstLine="640"/>
        <w:jc w:val="both"/>
      </w:pPr>
      <w:r>
        <w:rPr>
          <w:rFonts w:ascii="仿宋_GB2312" w:hAnsi="仿宋_GB2312" w:eastAsia="仿宋_GB2312"/>
          <w:b w:val="0"/>
          <w:sz w:val="32"/>
        </w:rPr>
        <w:t>四、《财政拨款收入支出决算总表》</w:t>
      </w:r>
    </w:p>
    <w:p w14:paraId="7FBEE4EA">
      <w:pPr>
        <w:spacing w:line="240" w:lineRule="auto"/>
        <w:ind w:firstLine="640"/>
        <w:jc w:val="both"/>
      </w:pPr>
      <w:r>
        <w:rPr>
          <w:rFonts w:ascii="仿宋_GB2312" w:hAnsi="仿宋_GB2312" w:eastAsia="仿宋_GB2312"/>
          <w:b w:val="0"/>
          <w:sz w:val="32"/>
        </w:rPr>
        <w:t>五、《一般公共预算财政拨款支出决算表》</w:t>
      </w:r>
    </w:p>
    <w:p w14:paraId="385AC4BE">
      <w:pPr>
        <w:spacing w:line="240" w:lineRule="auto"/>
        <w:ind w:firstLine="640"/>
        <w:jc w:val="both"/>
      </w:pPr>
      <w:r>
        <w:rPr>
          <w:rFonts w:ascii="仿宋_GB2312" w:hAnsi="仿宋_GB2312" w:eastAsia="仿宋_GB2312"/>
          <w:b w:val="0"/>
          <w:sz w:val="32"/>
        </w:rPr>
        <w:t>六、《一般公共预算财政拨款基本支出决算表》</w:t>
      </w:r>
    </w:p>
    <w:p w14:paraId="0E1EC03F">
      <w:pPr>
        <w:spacing w:line="240" w:lineRule="auto"/>
        <w:ind w:firstLine="640"/>
        <w:jc w:val="both"/>
      </w:pPr>
      <w:r>
        <w:rPr>
          <w:rFonts w:ascii="仿宋_GB2312" w:hAnsi="仿宋_GB2312" w:eastAsia="仿宋_GB2312"/>
          <w:b w:val="0"/>
          <w:sz w:val="32"/>
        </w:rPr>
        <w:t>七、《政府性基金预算财政拨款收入支出决算表》</w:t>
      </w:r>
    </w:p>
    <w:p w14:paraId="0154ECFE">
      <w:pPr>
        <w:spacing w:line="240" w:lineRule="auto"/>
        <w:ind w:firstLine="640"/>
        <w:jc w:val="both"/>
      </w:pPr>
      <w:r>
        <w:rPr>
          <w:rFonts w:ascii="仿宋_GB2312" w:hAnsi="仿宋_GB2312" w:eastAsia="仿宋_GB2312"/>
          <w:b w:val="0"/>
          <w:sz w:val="32"/>
        </w:rPr>
        <w:t>八、《国有资本经营预算财政拨款收入支出决算表》</w:t>
      </w:r>
    </w:p>
    <w:p w14:paraId="11092B62">
      <w:pPr>
        <w:spacing w:line="240" w:lineRule="auto"/>
        <w:ind w:firstLine="640"/>
        <w:jc w:val="both"/>
      </w:pPr>
      <w:r>
        <w:rPr>
          <w:rFonts w:ascii="仿宋_GB2312" w:hAnsi="仿宋_GB2312" w:eastAsia="仿宋_GB2312"/>
          <w:b w:val="0"/>
          <w:sz w:val="32"/>
        </w:rPr>
        <w:t>九、《财政拨款“三公”经费支出决算表》</w:t>
      </w:r>
    </w:p>
    <w:p w14:paraId="701BBEA6">
      <w:pPr>
        <w:spacing w:line="240" w:lineRule="auto"/>
        <w:ind w:firstLine="640"/>
        <w:jc w:val="both"/>
      </w:pPr>
    </w:p>
    <w:p w14:paraId="65DE62AD">
      <w:pPr>
        <w:spacing w:line="240" w:lineRule="auto"/>
        <w:ind w:firstLine="640"/>
        <w:jc w:val="both"/>
      </w:pPr>
    </w:p>
    <w:p w14:paraId="7B7CC57C">
      <w:pPr>
        <w:spacing w:line="240" w:lineRule="auto"/>
        <w:ind w:firstLine="640"/>
        <w:jc w:val="both"/>
      </w:pPr>
    </w:p>
    <w:p w14:paraId="0B5678D0">
      <w:pPr>
        <w:spacing w:line="240" w:lineRule="auto"/>
        <w:ind w:firstLine="640"/>
        <w:jc w:val="both"/>
      </w:pPr>
    </w:p>
    <w:p w14:paraId="2A359A5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3A61D29"/>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6e9056c3-44d2-4690-af15-100d8046fc07</errorID>
      <errorWord>2月31日</errorWord>
      <group>L1_Sensitive</group>
      <groupName>敏感问题</groupName>
      <ability>L2_UserSensitive</ability>
      <abilityName>自定义敏感词</abilityName>
      <candidateList/>
      <explain>来自自定义敏感词库。</explain>
      <paraID>2A5572AE</paraID>
      <start>8</start>
      <end>13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8d1ba0-79cd-4580-b9d9-e2aafbeff85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5178</Words>
  <Characters>5928</Characters>
  <Lines>0</Lines>
  <Paragraphs>0</Paragraphs>
  <TotalTime>1</TotalTime>
  <ScaleCrop>false</ScaleCrop>
  <LinksUpToDate>false</LinksUpToDate>
  <CharactersWithSpaces>5937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2025-10-31T08:48:44Z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