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托里县博物馆2024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531B73B">
      <w:r>
        <w:br w:type="page"/>
      </w:r>
    </w:p>
    <w:p w14:paraId="5D1B91A4">
      <w:pPr>
        <w:spacing w:line="640" w:lineRule="exact"/>
        <w:jc w:val="center"/>
        <w:outlineLvl w:val="1"/>
      </w:pPr>
      <w:r>
        <w:rPr>
          <w:rFonts w:ascii="黑体" w:hAnsi="黑体" w:eastAsia="黑体"/>
          <w:sz w:val="32"/>
        </w:rPr>
        <w:t>第一部分 单位概况</w:t>
      </w:r>
    </w:p>
    <w:p w14:paraId="64804E33">
      <w:pPr>
        <w:spacing w:line="640" w:lineRule="exact"/>
        <w:ind w:firstLine="640"/>
        <w:jc w:val="both"/>
        <w:outlineLvl w:val="2"/>
      </w:pPr>
      <w:r>
        <w:rPr>
          <w:rFonts w:ascii="黑体" w:hAnsi="黑体" w:eastAsia="黑体"/>
          <w:sz w:val="32"/>
        </w:rPr>
        <w:t>一、主要职能</w:t>
      </w:r>
    </w:p>
    <w:p w14:paraId="1F48E7BF">
      <w:pPr>
        <w:spacing w:line="580" w:lineRule="exact"/>
        <w:ind w:firstLine="640"/>
        <w:jc w:val="both"/>
      </w:pPr>
      <w:r>
        <w:rPr>
          <w:rFonts w:ascii="仿宋_GB2312" w:hAnsi="仿宋_GB2312" w:eastAsia="仿宋_GB2312"/>
          <w:sz w:val="32"/>
        </w:rPr>
        <w:t>（1）托里博物馆负责对具有历史、艺术、科学价值的可移动文物进行征集、研究、收藏、保管、陈列、展示、修复；传播科学文化知识，提高公民科学素养，用史料对广大人民群众开展爱国主义教育。</w:t>
      </w:r>
    </w:p>
    <w:p w14:paraId="4BEC4D97">
      <w:pPr>
        <w:spacing w:line="580" w:lineRule="exact"/>
        <w:ind w:firstLine="640"/>
        <w:jc w:val="both"/>
      </w:pPr>
      <w:r>
        <w:rPr>
          <w:rFonts w:ascii="仿宋_GB2312" w:hAnsi="仿宋_GB2312" w:eastAsia="仿宋_GB2312"/>
          <w:sz w:val="32"/>
        </w:rPr>
        <w:t>（2）全面贯彻落实中央、自治区在文物保护利用方面的路线、方针、政策，完成上级主管部门</w:t>
      </w:r>
      <w:r>
        <w:rPr>
          <w:rFonts w:hint="eastAsia" w:ascii="仿宋_GB2312" w:hAnsi="仿宋_GB2312" w:eastAsia="仿宋_GB2312"/>
          <w:sz w:val="32"/>
          <w:lang w:eastAsia="zh-CN"/>
        </w:rPr>
        <w:t>交予</w:t>
      </w:r>
      <w:r>
        <w:rPr>
          <w:rFonts w:ascii="仿宋_GB2312" w:hAnsi="仿宋_GB2312" w:eastAsia="仿宋_GB2312"/>
          <w:sz w:val="32"/>
        </w:rPr>
        <w:t>的各项宣传、展览、接待任务。</w:t>
      </w:r>
    </w:p>
    <w:p w14:paraId="52702181">
      <w:pPr>
        <w:spacing w:line="640" w:lineRule="exact"/>
        <w:ind w:firstLine="640"/>
        <w:jc w:val="both"/>
        <w:outlineLvl w:val="2"/>
      </w:pPr>
      <w:r>
        <w:rPr>
          <w:rFonts w:ascii="黑体" w:hAnsi="黑体" w:eastAsia="黑体"/>
          <w:sz w:val="32"/>
        </w:rPr>
        <w:t>二、机构设置及人员情况</w:t>
      </w:r>
    </w:p>
    <w:p w14:paraId="055C6A2A">
      <w:pPr>
        <w:spacing w:line="580" w:lineRule="exact"/>
        <w:ind w:firstLine="640"/>
        <w:jc w:val="both"/>
      </w:pPr>
      <w:r>
        <w:rPr>
          <w:rFonts w:ascii="仿宋_GB2312" w:hAnsi="仿宋_GB2312" w:eastAsia="仿宋_GB2312"/>
          <w:sz w:val="32"/>
        </w:rPr>
        <w:t>托里县博物馆2024年度，实有人数3人，其中：在职人员3人，增加0人；离休人员0人，增加0人；退休人员0人,增加0人。</w:t>
      </w:r>
    </w:p>
    <w:p w14:paraId="386478E6">
      <w:pPr>
        <w:spacing w:line="580" w:lineRule="exact"/>
        <w:ind w:firstLine="640"/>
        <w:jc w:val="both"/>
      </w:pPr>
      <w:r>
        <w:rPr>
          <w:rFonts w:ascii="仿宋_GB2312" w:hAnsi="仿宋_GB2312" w:eastAsia="仿宋_GB2312"/>
          <w:sz w:val="32"/>
        </w:rPr>
        <w:t>托里县博物馆无下属预算单位，下设1个科室，分别是：办公室。</w:t>
      </w:r>
    </w:p>
    <w:p w14:paraId="474B7E02">
      <w:r>
        <w:br w:type="page"/>
      </w:r>
    </w:p>
    <w:p w14:paraId="79173D45">
      <w:pPr>
        <w:spacing w:line="240" w:lineRule="auto"/>
        <w:jc w:val="center"/>
        <w:outlineLvl w:val="1"/>
      </w:pPr>
      <w:r>
        <w:rPr>
          <w:rFonts w:ascii="黑体" w:hAnsi="黑体" w:eastAsia="黑体"/>
          <w:sz w:val="32"/>
        </w:rPr>
        <w:t>第二部分 部门决算情况说明</w:t>
      </w:r>
    </w:p>
    <w:p w14:paraId="7AFAA350">
      <w:pPr>
        <w:spacing w:line="640" w:lineRule="exact"/>
        <w:ind w:firstLine="640"/>
        <w:jc w:val="both"/>
        <w:outlineLvl w:val="2"/>
      </w:pPr>
      <w:r>
        <w:rPr>
          <w:rFonts w:ascii="黑体" w:hAnsi="黑体" w:eastAsia="黑体"/>
          <w:sz w:val="32"/>
        </w:rPr>
        <w:t>一、收入支出决算总体情况说明</w:t>
      </w:r>
    </w:p>
    <w:p w14:paraId="778A80F9">
      <w:pPr>
        <w:spacing w:line="580" w:lineRule="exact"/>
        <w:ind w:firstLine="640"/>
        <w:jc w:val="both"/>
      </w:pPr>
      <w:r>
        <w:rPr>
          <w:rFonts w:ascii="仿宋_GB2312" w:hAnsi="仿宋_GB2312" w:eastAsia="仿宋_GB2312"/>
          <w:b/>
          <w:sz w:val="32"/>
        </w:rPr>
        <w:t>2024年度收入总计51.32万元，</w:t>
      </w:r>
      <w:r>
        <w:rPr>
          <w:rFonts w:ascii="仿宋_GB2312" w:hAnsi="仿宋_GB2312" w:eastAsia="仿宋_GB2312"/>
          <w:b w:val="0"/>
          <w:sz w:val="32"/>
        </w:rPr>
        <w:t>其中：本年收入合计51.32万元，使用非财政拨款结余（含专用结余）0.00万元，年初结转和结余0.00万元。</w:t>
      </w:r>
    </w:p>
    <w:p w14:paraId="2DD48429">
      <w:pPr>
        <w:spacing w:line="580" w:lineRule="exact"/>
        <w:ind w:firstLine="640"/>
        <w:jc w:val="both"/>
      </w:pPr>
      <w:r>
        <w:rPr>
          <w:rFonts w:ascii="仿宋_GB2312" w:hAnsi="仿宋_GB2312" w:eastAsia="仿宋_GB2312"/>
          <w:b/>
          <w:sz w:val="32"/>
        </w:rPr>
        <w:t>2024年度支出总计51.32万元，</w:t>
      </w:r>
      <w:r>
        <w:rPr>
          <w:rFonts w:ascii="仿宋_GB2312" w:hAnsi="仿宋_GB2312" w:eastAsia="仿宋_GB2312"/>
          <w:b w:val="0"/>
          <w:sz w:val="32"/>
        </w:rPr>
        <w:t>其中：本年支出合计51.31万元，结余分配0.00万元，年末结转和结余0.00万元。</w:t>
      </w:r>
    </w:p>
    <w:p w14:paraId="36A74BAB">
      <w:pPr>
        <w:spacing w:line="580" w:lineRule="exact"/>
        <w:ind w:firstLine="640"/>
        <w:jc w:val="both"/>
      </w:pPr>
      <w:r>
        <w:rPr>
          <w:rFonts w:ascii="仿宋_GB2312" w:hAnsi="仿宋_GB2312" w:eastAsia="仿宋_GB2312"/>
          <w:b w:val="0"/>
          <w:sz w:val="32"/>
        </w:rPr>
        <w:t>收入支出总体与上年相比，减少6.00万元，下降10.47%，主要原因是：本年减少自治区野外文物看护员项目，导致经费较上年减少。</w:t>
      </w:r>
    </w:p>
    <w:p w14:paraId="67B644D4">
      <w:pPr>
        <w:spacing w:line="640" w:lineRule="exact"/>
        <w:ind w:firstLine="640"/>
        <w:jc w:val="both"/>
        <w:outlineLvl w:val="2"/>
      </w:pPr>
      <w:r>
        <w:rPr>
          <w:rFonts w:ascii="黑体" w:hAnsi="黑体" w:eastAsia="黑体"/>
          <w:sz w:val="32"/>
        </w:rPr>
        <w:t>二、收入决算情况说明</w:t>
      </w:r>
    </w:p>
    <w:p w14:paraId="4958AB0B">
      <w:pPr>
        <w:spacing w:line="580" w:lineRule="exact"/>
        <w:ind w:firstLine="640"/>
        <w:jc w:val="both"/>
      </w:pPr>
      <w:r>
        <w:rPr>
          <w:rFonts w:ascii="仿宋_GB2312" w:hAnsi="仿宋_GB2312" w:eastAsia="仿宋_GB2312"/>
          <w:b/>
          <w:sz w:val="32"/>
        </w:rPr>
        <w:t>本年收入51.32万元，</w:t>
      </w:r>
      <w:r>
        <w:rPr>
          <w:rFonts w:ascii="仿宋_GB2312" w:hAnsi="仿宋_GB2312" w:eastAsia="仿宋_GB2312"/>
          <w:b w:val="0"/>
          <w:sz w:val="32"/>
        </w:rPr>
        <w:t>其中：财政拨款收入51.31万元，占99.98%；上级补助收入0.00万元，占0.00%；事业收入0.00万元，占0.00%；经营收入0.00万元，占0.00%；附属单位上缴收入0.00万元，占0.00%；其他收入0.00万元，占0.00%。</w:t>
      </w:r>
    </w:p>
    <w:p w14:paraId="4F411422">
      <w:pPr>
        <w:spacing w:line="640" w:lineRule="exact"/>
        <w:ind w:firstLine="640"/>
        <w:jc w:val="both"/>
        <w:outlineLvl w:val="2"/>
      </w:pPr>
      <w:r>
        <w:rPr>
          <w:rFonts w:ascii="黑体" w:hAnsi="黑体" w:eastAsia="黑体"/>
          <w:sz w:val="32"/>
        </w:rPr>
        <w:t>三、支出决算情况说明</w:t>
      </w:r>
    </w:p>
    <w:p w14:paraId="4CDFD13B">
      <w:pPr>
        <w:spacing w:line="580" w:lineRule="exact"/>
        <w:ind w:firstLine="640"/>
        <w:jc w:val="both"/>
      </w:pPr>
      <w:r>
        <w:rPr>
          <w:rFonts w:ascii="仿宋_GB2312" w:hAnsi="仿宋_GB2312" w:eastAsia="仿宋_GB2312"/>
          <w:b/>
          <w:sz w:val="32"/>
        </w:rPr>
        <w:t>本年支出51.31万元，</w:t>
      </w:r>
      <w:r>
        <w:rPr>
          <w:rFonts w:ascii="仿宋_GB2312" w:hAnsi="仿宋_GB2312" w:eastAsia="仿宋_GB2312"/>
          <w:b w:val="0"/>
          <w:sz w:val="32"/>
        </w:rPr>
        <w:t>其中：基本支出51.31万元，占100.00%；项目支出0.00万元，占0.00%；上缴上级支出0.00万元，占0.00%；经营支出0.00万元，占0.00%；对附属单位补助支出0.00万元，占0.00%。</w:t>
      </w:r>
    </w:p>
    <w:p w14:paraId="707A9B81">
      <w:pPr>
        <w:spacing w:line="640" w:lineRule="exact"/>
        <w:ind w:firstLine="640"/>
        <w:jc w:val="both"/>
        <w:outlineLvl w:val="2"/>
      </w:pPr>
      <w:r>
        <w:rPr>
          <w:rFonts w:ascii="黑体" w:hAnsi="黑体" w:eastAsia="黑体"/>
          <w:sz w:val="32"/>
        </w:rPr>
        <w:t>四、财政拨款收入支出决算总体情况说明</w:t>
      </w:r>
    </w:p>
    <w:p w14:paraId="4DB62E84">
      <w:pPr>
        <w:spacing w:line="580" w:lineRule="exact"/>
        <w:ind w:firstLine="640"/>
        <w:jc w:val="both"/>
      </w:pPr>
      <w:r>
        <w:rPr>
          <w:rFonts w:ascii="仿宋_GB2312" w:hAnsi="仿宋_GB2312" w:eastAsia="仿宋_GB2312"/>
          <w:b/>
          <w:sz w:val="32"/>
        </w:rPr>
        <w:t>2024年度财政拨款收入总计51.31万元，</w:t>
      </w:r>
      <w:r>
        <w:rPr>
          <w:rFonts w:ascii="仿宋_GB2312" w:hAnsi="仿宋_GB2312" w:eastAsia="仿宋_GB2312"/>
          <w:b w:val="0"/>
          <w:sz w:val="32"/>
        </w:rPr>
        <w:t>其中：年初财政拨款结转和结余0.00万元，本年财政拨款收入51.31万元。</w:t>
      </w:r>
      <w:r>
        <w:rPr>
          <w:rFonts w:ascii="仿宋_GB2312" w:hAnsi="仿宋_GB2312" w:eastAsia="仿宋_GB2312"/>
          <w:b/>
          <w:sz w:val="32"/>
        </w:rPr>
        <w:t>财政拨款支出总计51.31万元，</w:t>
      </w:r>
      <w:r>
        <w:rPr>
          <w:rFonts w:ascii="仿宋_GB2312" w:hAnsi="仿宋_GB2312" w:eastAsia="仿宋_GB2312"/>
          <w:b w:val="0"/>
          <w:sz w:val="32"/>
        </w:rPr>
        <w:t>其中：年末财政拨款结转和结余0.00万元，本年财政拨款支出51.31万元。</w:t>
      </w:r>
    </w:p>
    <w:p w14:paraId="7D1FE7B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减少6.01万元，下降10.48%，主要原因是：本年减少自治区野外文物看护员项目，导致经费较上年减少。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年初预算数50.85万元，决算数51.31万元，预决算差异率0.90%，主要原因是：年中追加人员工资、社保、公积金基数调增部分资金，导致预决算存在差异。</w:t>
      </w:r>
    </w:p>
    <w:p w14:paraId="38A717A4">
      <w:pPr>
        <w:spacing w:line="640" w:lineRule="exact"/>
        <w:ind w:firstLine="640"/>
        <w:jc w:val="both"/>
        <w:outlineLvl w:val="2"/>
      </w:pPr>
      <w:r>
        <w:rPr>
          <w:rFonts w:ascii="黑体" w:hAnsi="黑体" w:eastAsia="黑体"/>
          <w:sz w:val="32"/>
        </w:rPr>
        <w:t>五、一般公共预算财政拨款支出决算情况说明</w:t>
      </w:r>
    </w:p>
    <w:p w14:paraId="30E5F605">
      <w:pPr>
        <w:spacing w:line="640" w:lineRule="exact"/>
        <w:ind w:firstLine="640"/>
        <w:jc w:val="both"/>
        <w:outlineLvl w:val="3"/>
      </w:pPr>
      <w:r>
        <w:rPr>
          <w:rFonts w:ascii="楷体_GB2312" w:hAnsi="楷体_GB2312" w:eastAsia="楷体_GB2312"/>
          <w:b/>
          <w:sz w:val="32"/>
        </w:rPr>
        <w:t>（一）一般公共预算财政拨款支出决算总体情况</w:t>
      </w:r>
    </w:p>
    <w:p w14:paraId="7EC278A2">
      <w:pPr>
        <w:spacing w:line="580" w:lineRule="exact"/>
        <w:ind w:firstLine="640"/>
        <w:jc w:val="both"/>
      </w:pPr>
      <w:r>
        <w:rPr>
          <w:rFonts w:ascii="仿宋_GB2312" w:hAnsi="仿宋_GB2312" w:eastAsia="仿宋_GB2312"/>
          <w:b/>
          <w:sz w:val="32"/>
        </w:rPr>
        <w:t>2024年度一般公共预算财政拨款支出51.31万元，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减少6.01万元，下降10.48%，主要原因是：本年减少自治区野外文物看护员项目，导致经费较上年减少。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年初预算数50.85万元，决算数51.31万元，预决算差异率0.90%，主要原因是：年中追加人员工资、社保、公积金基数调增部分资金，导致预决算存在差异。</w:t>
      </w:r>
    </w:p>
    <w:p w14:paraId="1DB3A27A">
      <w:pPr>
        <w:spacing w:line="640" w:lineRule="exact"/>
        <w:ind w:firstLine="640"/>
        <w:jc w:val="both"/>
        <w:outlineLvl w:val="3"/>
      </w:pPr>
      <w:r>
        <w:rPr>
          <w:rFonts w:ascii="楷体_GB2312" w:hAnsi="楷体_GB2312" w:eastAsia="楷体_GB2312"/>
          <w:b/>
          <w:sz w:val="32"/>
        </w:rPr>
        <w:t>（二）一般公共预算财政拨款支出决算结构情况</w:t>
      </w:r>
    </w:p>
    <w:p w14:paraId="4D642021">
      <w:pPr>
        <w:spacing w:line="580" w:lineRule="exact"/>
        <w:ind w:firstLine="640"/>
        <w:jc w:val="both"/>
      </w:pPr>
      <w:r>
        <w:rPr>
          <w:rFonts w:ascii="仿宋_GB2312" w:hAnsi="仿宋_GB2312" w:eastAsia="仿宋_GB2312"/>
          <w:b w:val="0"/>
          <w:sz w:val="32"/>
        </w:rPr>
        <w:t>1.文化旅游体育与传媒支出(类)41.17万元,占80.24%。</w:t>
      </w:r>
    </w:p>
    <w:p w14:paraId="3C52CC25">
      <w:pPr>
        <w:spacing w:line="580" w:lineRule="exact"/>
        <w:ind w:firstLine="640"/>
        <w:jc w:val="both"/>
      </w:pPr>
      <w:r>
        <w:rPr>
          <w:rFonts w:ascii="仿宋_GB2312" w:hAnsi="仿宋_GB2312" w:eastAsia="仿宋_GB2312"/>
          <w:b w:val="0"/>
          <w:sz w:val="32"/>
        </w:rPr>
        <w:t>2.社会保障和就业支出(类)4.70万元,占9.16%。</w:t>
      </w:r>
    </w:p>
    <w:p w14:paraId="74A66425">
      <w:pPr>
        <w:spacing w:line="580" w:lineRule="exact"/>
        <w:ind w:firstLine="640"/>
        <w:jc w:val="both"/>
      </w:pPr>
      <w:r>
        <w:rPr>
          <w:rFonts w:ascii="仿宋_GB2312" w:hAnsi="仿宋_GB2312" w:eastAsia="仿宋_GB2312"/>
          <w:b w:val="0"/>
          <w:sz w:val="32"/>
        </w:rPr>
        <w:t>3.卫生健康支出(类)1.95万元,占3.80%。</w:t>
      </w:r>
    </w:p>
    <w:p w14:paraId="57579D63">
      <w:pPr>
        <w:spacing w:line="580" w:lineRule="exact"/>
        <w:ind w:firstLine="640"/>
        <w:jc w:val="both"/>
      </w:pPr>
      <w:r>
        <w:rPr>
          <w:rFonts w:ascii="仿宋_GB2312" w:hAnsi="仿宋_GB2312" w:eastAsia="仿宋_GB2312"/>
          <w:b w:val="0"/>
          <w:sz w:val="32"/>
        </w:rPr>
        <w:t>4.住房保障支出(类)3.49万元,占6.80%。</w:t>
      </w:r>
    </w:p>
    <w:p w14:paraId="193CE9BA">
      <w:pPr>
        <w:spacing w:line="640" w:lineRule="exact"/>
        <w:ind w:firstLine="640"/>
        <w:jc w:val="both"/>
        <w:outlineLvl w:val="3"/>
      </w:pPr>
      <w:r>
        <w:rPr>
          <w:rFonts w:ascii="楷体_GB2312" w:hAnsi="楷体_GB2312" w:eastAsia="楷体_GB2312"/>
          <w:b/>
          <w:sz w:val="32"/>
        </w:rPr>
        <w:t>（三）一般公共预算财政拨款支出决算具体情况</w:t>
      </w:r>
    </w:p>
    <w:p w14:paraId="291A4EA3">
      <w:pPr>
        <w:spacing w:line="580" w:lineRule="exact"/>
        <w:ind w:firstLine="640"/>
        <w:jc w:val="both"/>
      </w:pPr>
      <w:r>
        <w:rPr>
          <w:rFonts w:ascii="仿宋_GB2312" w:hAnsi="仿宋_GB2312" w:eastAsia="仿宋_GB2312"/>
          <w:b w:val="0"/>
          <w:sz w:val="32"/>
        </w:rPr>
        <w:t>1.文化旅游体育与传媒支出(类)文物(款)文物保护(项):支出决算数为0.00万元，比上年决算减少9.60万元，下降100.00%,主要原因是：本年未安排自治区野外文物看护员项目，相应支出减少。</w:t>
      </w:r>
    </w:p>
    <w:p w14:paraId="35B3511D">
      <w:pPr>
        <w:spacing w:line="580" w:lineRule="exact"/>
        <w:ind w:firstLine="640"/>
        <w:jc w:val="both"/>
      </w:pPr>
      <w:r>
        <w:rPr>
          <w:rFonts w:ascii="仿宋_GB2312" w:hAnsi="仿宋_GB2312" w:eastAsia="仿宋_GB2312"/>
          <w:b w:val="0"/>
          <w:sz w:val="32"/>
        </w:rPr>
        <w:t>2.文化旅游体育与传媒支出(类)文物(款)博物馆(项):支出决算数为41.17万元，比上年决算增加2.47万元，增长6.38%,主要原因是：本年度差旅费、维修费等公用经费支出增加，人员工资调增，相关人员经费增加，因此支出决算数较上年增加。</w:t>
      </w:r>
    </w:p>
    <w:p w14:paraId="309DEC88">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4.70万元，比上年决算增加0.57万元，增长13.80%,主要原因是：本年在职人员工资基数调增，养老缴费基数上涨，相应支出增加。</w:t>
      </w:r>
    </w:p>
    <w:p w14:paraId="0F2C2202">
      <w:pPr>
        <w:spacing w:line="580" w:lineRule="exact"/>
        <w:ind w:firstLine="640"/>
        <w:jc w:val="both"/>
      </w:pPr>
      <w:r>
        <w:rPr>
          <w:rFonts w:ascii="仿宋_GB2312" w:hAnsi="仿宋_GB2312" w:eastAsia="仿宋_GB2312"/>
          <w:b w:val="0"/>
          <w:sz w:val="32"/>
        </w:rPr>
        <w:t>4.卫生健康支出(类)行政事业单位医疗(款)事业单位医疗(项):支出决算数为1.95万元，比上年决算增加0.09万元，增长4.84%,主要原因是：本年在职人员工资基数调增，医疗缴费基数上涨，相应支出增加。</w:t>
      </w:r>
    </w:p>
    <w:p w14:paraId="5D8B1107">
      <w:pPr>
        <w:spacing w:line="580" w:lineRule="exact"/>
        <w:ind w:firstLine="640"/>
        <w:jc w:val="both"/>
      </w:pPr>
      <w:r>
        <w:rPr>
          <w:rFonts w:ascii="仿宋_GB2312" w:hAnsi="仿宋_GB2312" w:eastAsia="仿宋_GB2312"/>
          <w:b w:val="0"/>
          <w:sz w:val="32"/>
        </w:rPr>
        <w:t>5.住房保障支出(类)住房改革支出(款)住房公积金(项):支出决算数为3.49万元，比上年决算增加0.46万元，增长15.18%,主要原因是：本年在职人员工资基数调增，公积金缴费基数上涨，相应支出增加。</w:t>
      </w:r>
    </w:p>
    <w:p w14:paraId="48118AC7">
      <w:pPr>
        <w:spacing w:line="640" w:lineRule="exact"/>
        <w:ind w:firstLine="640"/>
        <w:jc w:val="both"/>
        <w:outlineLvl w:val="2"/>
      </w:pPr>
      <w:r>
        <w:rPr>
          <w:rFonts w:ascii="黑体" w:hAnsi="黑体" w:eastAsia="黑体"/>
          <w:sz w:val="32"/>
        </w:rPr>
        <w:t>六、一般公共预算财政拨款基本支出决算情况说明</w:t>
      </w:r>
    </w:p>
    <w:p w14:paraId="6160D685">
      <w:pPr>
        <w:spacing w:line="580" w:lineRule="exact"/>
        <w:ind w:firstLine="640"/>
        <w:jc w:val="both"/>
      </w:pPr>
      <w:r>
        <w:rPr>
          <w:rFonts w:ascii="仿宋_GB2312" w:hAnsi="仿宋_GB2312" w:eastAsia="仿宋_GB2312"/>
          <w:b w:val="0"/>
          <w:sz w:val="32"/>
        </w:rPr>
        <w:t>2024年度一般公共预算财政拨款基本支出51.31万元，其中：</w:t>
      </w:r>
      <w:r>
        <w:rPr>
          <w:rFonts w:ascii="仿宋_GB2312" w:hAnsi="仿宋_GB2312" w:eastAsia="仿宋_GB2312"/>
          <w:b/>
          <w:sz w:val="32"/>
        </w:rPr>
        <w:t>人员经费44.19万元，</w:t>
      </w:r>
      <w:r>
        <w:rPr>
          <w:rFonts w:ascii="仿宋_GB2312" w:hAnsi="仿宋_GB2312" w:eastAsia="仿宋_GB2312"/>
          <w:b w:val="0"/>
          <w:sz w:val="32"/>
        </w:rPr>
        <w:t>包括：基本工资、津贴补贴、奖金、绩效工资、机关事业单位基本养老保险缴费、职工基本医疗保险缴费、其他社会保障缴费、住房公积金。</w:t>
      </w:r>
    </w:p>
    <w:p w14:paraId="0F2F777D">
      <w:pPr>
        <w:spacing w:line="580" w:lineRule="exact"/>
        <w:ind w:firstLine="640"/>
        <w:jc w:val="both"/>
      </w:pPr>
      <w:r>
        <w:rPr>
          <w:rFonts w:ascii="仿宋_GB2312" w:hAnsi="仿宋_GB2312" w:eastAsia="仿宋_GB2312"/>
          <w:b/>
          <w:sz w:val="32"/>
        </w:rPr>
        <w:t>公用经费7.13万元，</w:t>
      </w:r>
      <w:r>
        <w:rPr>
          <w:rFonts w:ascii="仿宋_GB2312" w:hAnsi="仿宋_GB2312" w:eastAsia="仿宋_GB2312"/>
          <w:b w:val="0"/>
          <w:sz w:val="32"/>
        </w:rPr>
        <w:t>包括：办公费、印刷费、电费、取暖费、差旅费、维修（护）费、劳务费、工会经费。</w:t>
      </w:r>
    </w:p>
    <w:p w14:paraId="414C08AB">
      <w:pPr>
        <w:spacing w:line="640" w:lineRule="exact"/>
        <w:ind w:firstLine="640"/>
        <w:jc w:val="both"/>
        <w:outlineLvl w:val="2"/>
      </w:pPr>
      <w:r>
        <w:rPr>
          <w:rFonts w:ascii="黑体" w:hAnsi="黑体" w:eastAsia="黑体"/>
          <w:sz w:val="32"/>
        </w:rPr>
        <w:t>七、政府性基金预算财政拨款收入支出决算情况说明</w:t>
      </w:r>
    </w:p>
    <w:p w14:paraId="22A3843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CFF8091">
      <w:pPr>
        <w:spacing w:line="640" w:lineRule="exact"/>
        <w:ind w:firstLine="640"/>
        <w:jc w:val="both"/>
        <w:outlineLvl w:val="2"/>
      </w:pPr>
      <w:r>
        <w:rPr>
          <w:rFonts w:ascii="黑体" w:hAnsi="黑体" w:eastAsia="黑体"/>
          <w:sz w:val="32"/>
        </w:rPr>
        <w:t>八、国有资本经营预算财政拨款收入支出决算情况说明</w:t>
      </w:r>
    </w:p>
    <w:p w14:paraId="58211CE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774E8A7">
      <w:pPr>
        <w:spacing w:line="640" w:lineRule="exact"/>
        <w:ind w:firstLine="640"/>
        <w:jc w:val="both"/>
        <w:outlineLvl w:val="2"/>
      </w:pPr>
      <w:r>
        <w:rPr>
          <w:rFonts w:ascii="黑体" w:hAnsi="黑体" w:eastAsia="黑体"/>
          <w:sz w:val="32"/>
        </w:rPr>
        <w:t>九、财政拨款“三公”经费支出决算情况说明</w:t>
      </w:r>
    </w:p>
    <w:p w14:paraId="7B5C82C1">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C1DCB78">
      <w:pPr>
        <w:spacing w:line="580" w:lineRule="exact"/>
        <w:ind w:firstLine="640"/>
        <w:jc w:val="both"/>
      </w:pPr>
      <w:r>
        <w:rPr>
          <w:rFonts w:ascii="仿宋_GB2312" w:hAnsi="仿宋_GB2312" w:eastAsia="仿宋_GB2312"/>
          <w:b/>
          <w:sz w:val="32"/>
        </w:rPr>
        <w:t>具体情况如下：</w:t>
      </w:r>
    </w:p>
    <w:p w14:paraId="6616378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621C72A">
      <w:pPr>
        <w:spacing w:line="580" w:lineRule="exact"/>
        <w:ind w:firstLine="640"/>
        <w:jc w:val="both"/>
        <w:rPr>
          <w:spacing w:val="-6"/>
          <w:sz w:val="32"/>
        </w:rPr>
      </w:pPr>
      <w:r>
        <w:rPr>
          <w:rFonts w:ascii="仿宋_GB2312" w:hAnsi="仿宋_GB2312" w:eastAsia="仿宋_GB2312"/>
          <w:b w:val="0"/>
          <w:spacing w:val="-6"/>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6AAED9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EA1C75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CB10AA6">
      <w:pPr>
        <w:spacing w:line="640" w:lineRule="exact"/>
        <w:ind w:firstLine="640"/>
        <w:jc w:val="both"/>
        <w:outlineLvl w:val="2"/>
      </w:pPr>
      <w:r>
        <w:rPr>
          <w:rFonts w:ascii="黑体" w:hAnsi="黑体" w:eastAsia="黑体"/>
          <w:sz w:val="32"/>
        </w:rPr>
        <w:t>十、其他重要事项的情况说明</w:t>
      </w:r>
    </w:p>
    <w:p w14:paraId="0374259B">
      <w:pPr>
        <w:spacing w:line="640" w:lineRule="exact"/>
        <w:ind w:firstLine="640"/>
        <w:jc w:val="both"/>
        <w:outlineLvl w:val="3"/>
      </w:pPr>
      <w:r>
        <w:rPr>
          <w:rFonts w:ascii="楷体_GB2312" w:hAnsi="楷体_GB2312" w:eastAsia="楷体_GB2312"/>
          <w:b/>
          <w:sz w:val="32"/>
        </w:rPr>
        <w:t>（一）机关运行经费及公用经费支出情况</w:t>
      </w:r>
    </w:p>
    <w:p w14:paraId="11FB5866">
      <w:pPr>
        <w:spacing w:line="580" w:lineRule="exact"/>
        <w:ind w:firstLine="640"/>
        <w:jc w:val="both"/>
      </w:pPr>
      <w:r>
        <w:rPr>
          <w:rFonts w:ascii="仿宋_GB2312" w:hAnsi="仿宋_GB2312" w:eastAsia="仿宋_GB2312"/>
          <w:b w:val="0"/>
          <w:sz w:val="32"/>
        </w:rPr>
        <w:t>2024年度托里县博物馆（事业单位）公用经费支出7.13万元，比上年增加1.27万元，增长21.67%，主要原因是：本年度差旅费、维修费等经费支出增加，因此公用经费支出较上年增加。</w:t>
      </w:r>
    </w:p>
    <w:p w14:paraId="170F65E4">
      <w:pPr>
        <w:spacing w:line="640" w:lineRule="exact"/>
        <w:ind w:firstLine="640"/>
        <w:jc w:val="both"/>
        <w:outlineLvl w:val="3"/>
      </w:pPr>
      <w:r>
        <w:rPr>
          <w:rFonts w:ascii="楷体_GB2312" w:hAnsi="楷体_GB2312" w:eastAsia="楷体_GB2312"/>
          <w:b/>
          <w:sz w:val="32"/>
        </w:rPr>
        <w:t>（二）政府采购情况</w:t>
      </w:r>
    </w:p>
    <w:p w14:paraId="3DBFD602">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1A79B0D5">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59069FCC">
      <w:pPr>
        <w:spacing w:line="640" w:lineRule="exact"/>
        <w:ind w:firstLine="640"/>
        <w:jc w:val="both"/>
        <w:outlineLvl w:val="3"/>
      </w:pPr>
      <w:r>
        <w:rPr>
          <w:rFonts w:ascii="楷体_GB2312" w:hAnsi="楷体_GB2312" w:eastAsia="楷体_GB2312"/>
          <w:b/>
          <w:sz w:val="32"/>
        </w:rPr>
        <w:t>（三）国有资产占用情况说明</w:t>
      </w:r>
    </w:p>
    <w:p w14:paraId="648E093C">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320192F">
      <w:pPr>
        <w:spacing w:line="640" w:lineRule="exact"/>
        <w:ind w:firstLine="640"/>
        <w:jc w:val="both"/>
        <w:outlineLvl w:val="2"/>
      </w:pPr>
      <w:r>
        <w:rPr>
          <w:rFonts w:ascii="黑体" w:hAnsi="黑体" w:eastAsia="黑体"/>
          <w:sz w:val="32"/>
        </w:rPr>
        <w:t>十一、预算绩效的情况说明</w:t>
      </w:r>
    </w:p>
    <w:p w14:paraId="7EFEBF9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51.32万元，实际执行总额51.32万元；预算绩效评价项目0个，全年预算数0.00万元，全年执行数0.00万元。预算绩效管理取得的成效：本单位无预算绩效项目。发现的问题及原因：本单位无预算绩效项目。下一步改进措施：本单位无预算绩效项目。具体附整体支出绩效自评表。</w:t>
      </w:r>
    </w:p>
    <w:p w14:paraId="37CF0D24">
      <w:r>
        <w:br w:type="page"/>
      </w:r>
    </w:p>
    <w:tbl>
      <w:tblPr>
        <w:tblStyle w:val="9"/>
        <w:tblW w:w="0" w:type="auto"/>
        <w:tblInd w:w="0" w:type="dxa"/>
        <w:tblLayout w:type="autofit"/>
        <w:tblCellMar>
          <w:top w:w="0" w:type="dxa"/>
          <w:left w:w="108" w:type="dxa"/>
          <w:bottom w:w="0" w:type="dxa"/>
          <w:right w:w="108" w:type="dxa"/>
        </w:tblCellMar>
      </w:tblPr>
      <w:tblGrid>
        <w:gridCol w:w="942"/>
        <w:gridCol w:w="1093"/>
        <w:gridCol w:w="1560"/>
        <w:gridCol w:w="825"/>
        <w:gridCol w:w="1309"/>
        <w:gridCol w:w="901"/>
        <w:gridCol w:w="1105"/>
        <w:gridCol w:w="1105"/>
      </w:tblGrid>
      <w:tr w14:paraId="565DE9D6">
        <w:tblPrEx>
          <w:tblCellMar>
            <w:top w:w="0" w:type="dxa"/>
            <w:left w:w="108" w:type="dxa"/>
            <w:bottom w:w="0" w:type="dxa"/>
            <w:right w:w="108" w:type="dxa"/>
          </w:tblCellMar>
        </w:tblPrEx>
        <w:tc>
          <w:tcPr>
            <w:tcW w:w="8840" w:type="dxa"/>
            <w:gridSpan w:val="8"/>
            <w:vAlign w:val="center"/>
          </w:tcPr>
          <w:p w14:paraId="0067AF49">
            <w:pPr>
              <w:jc w:val="center"/>
            </w:pPr>
            <w:r>
              <w:rPr>
                <w:rFonts w:ascii="宋体" w:hAnsi="宋体" w:eastAsia="宋体"/>
                <w:sz w:val="24"/>
              </w:rPr>
              <w:t>单位整体支出绩效自评表</w:t>
            </w:r>
          </w:p>
        </w:tc>
      </w:tr>
      <w:tr w14:paraId="037CFA33">
        <w:tblPrEx>
          <w:tblCellMar>
            <w:top w:w="0" w:type="dxa"/>
            <w:left w:w="108" w:type="dxa"/>
            <w:bottom w:w="0" w:type="dxa"/>
            <w:right w:w="108" w:type="dxa"/>
          </w:tblCellMar>
        </w:tblPrEx>
        <w:tc>
          <w:tcPr>
            <w:tcW w:w="8840" w:type="dxa"/>
            <w:gridSpan w:val="8"/>
            <w:vAlign w:val="center"/>
          </w:tcPr>
          <w:p w14:paraId="6CD27361">
            <w:pPr>
              <w:jc w:val="center"/>
            </w:pPr>
            <w:r>
              <w:rPr>
                <w:rFonts w:ascii="宋体" w:hAnsi="宋体" w:eastAsia="宋体"/>
                <w:sz w:val="24"/>
              </w:rPr>
              <w:t>（2024年度）</w:t>
            </w:r>
          </w:p>
        </w:tc>
      </w:tr>
      <w:tr w14:paraId="072066C7">
        <w:tblPrEx>
          <w:tblCellMar>
            <w:top w:w="0" w:type="dxa"/>
            <w:left w:w="108" w:type="dxa"/>
            <w:bottom w:w="0" w:type="dxa"/>
            <w:right w:w="108" w:type="dxa"/>
          </w:tblCellMar>
        </w:tblPrEx>
        <w:tc>
          <w:tcPr>
            <w:tcW w:w="942" w:type="dxa"/>
            <w:tcBorders>
              <w:top w:val="single" w:color="auto" w:sz="10" w:space="0"/>
              <w:left w:val="single" w:color="auto" w:sz="10" w:space="0"/>
              <w:bottom w:val="single" w:color="auto" w:sz="10" w:space="0"/>
              <w:right w:val="single" w:color="auto" w:sz="10" w:space="0"/>
              <w:insideV w:val="single" w:sz="10" w:space="0"/>
            </w:tcBorders>
            <w:vAlign w:val="center"/>
          </w:tcPr>
          <w:p w14:paraId="1A46A903">
            <w:pPr>
              <w:jc w:val="center"/>
            </w:pPr>
            <w:r>
              <w:rPr>
                <w:rFonts w:ascii="宋体" w:hAnsi="宋体" w:eastAsia="宋体"/>
                <w:sz w:val="16"/>
              </w:rPr>
              <w:t>单位名称</w:t>
            </w:r>
          </w:p>
        </w:tc>
        <w:tc>
          <w:tcPr>
            <w:tcW w:w="789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C80A63">
            <w:pPr>
              <w:jc w:val="center"/>
            </w:pPr>
            <w:r>
              <w:rPr>
                <w:rFonts w:ascii="宋体" w:hAnsi="宋体" w:eastAsia="宋体"/>
                <w:sz w:val="16"/>
              </w:rPr>
              <w:t>托里县博物馆</w:t>
            </w:r>
          </w:p>
        </w:tc>
      </w:tr>
      <w:tr w14:paraId="5B7E4609">
        <w:tblPrEx>
          <w:tblCellMar>
            <w:top w:w="0" w:type="dxa"/>
            <w:left w:w="108" w:type="dxa"/>
            <w:bottom w:w="0" w:type="dxa"/>
            <w:right w:w="108" w:type="dxa"/>
          </w:tblCellMar>
        </w:tblPrEx>
        <w:tc>
          <w:tcPr>
            <w:tcW w:w="94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2F6F51">
            <w:pPr>
              <w:jc w:val="center"/>
            </w:pPr>
            <w:r>
              <w:rPr>
                <w:rFonts w:ascii="宋体" w:hAnsi="宋体" w:eastAsia="宋体"/>
                <w:sz w:val="16"/>
              </w:rPr>
              <w:t>部门资金(万元)</w:t>
            </w:r>
          </w:p>
        </w:tc>
        <w:tc>
          <w:tcPr>
            <w:tcW w:w="1093" w:type="dxa"/>
            <w:tcBorders>
              <w:top w:val="single" w:color="auto" w:sz="10" w:space="0"/>
              <w:left w:val="single" w:color="auto" w:sz="10" w:space="0"/>
              <w:bottom w:val="single" w:color="auto" w:sz="10" w:space="0"/>
              <w:right w:val="single" w:color="auto" w:sz="10" w:space="0"/>
              <w:insideV w:val="single" w:sz="10" w:space="0"/>
            </w:tcBorders>
            <w:vAlign w:val="center"/>
          </w:tcPr>
          <w:p w14:paraId="69663279">
            <w:pPr>
              <w:jc w:val="center"/>
            </w:pPr>
            <w:r>
              <w:rPr>
                <w:rFonts w:ascii="宋体" w:hAnsi="宋体" w:eastAsia="宋体"/>
                <w:sz w:val="16"/>
              </w:rPr>
              <w:t>资金来源</w:t>
            </w:r>
          </w:p>
        </w:tc>
        <w:tc>
          <w:tcPr>
            <w:tcW w:w="1560" w:type="dxa"/>
            <w:tcBorders>
              <w:top w:val="single" w:color="auto" w:sz="10" w:space="0"/>
              <w:left w:val="single" w:color="auto" w:sz="10" w:space="0"/>
              <w:bottom w:val="single" w:color="auto" w:sz="10" w:space="0"/>
              <w:right w:val="single" w:color="auto" w:sz="10" w:space="0"/>
              <w:insideV w:val="single" w:sz="10" w:space="0"/>
            </w:tcBorders>
            <w:vAlign w:val="center"/>
          </w:tcPr>
          <w:p w14:paraId="0902F8B1">
            <w:pPr>
              <w:jc w:val="center"/>
            </w:pPr>
            <w:r>
              <w:rPr>
                <w:rFonts w:ascii="宋体" w:hAnsi="宋体" w:eastAsia="宋体"/>
                <w:sz w:val="16"/>
              </w:rPr>
              <w:t>年初预算数</w:t>
            </w:r>
          </w:p>
        </w:tc>
        <w:tc>
          <w:tcPr>
            <w:tcW w:w="825" w:type="dxa"/>
            <w:tcBorders>
              <w:top w:val="single" w:color="auto" w:sz="10" w:space="0"/>
              <w:left w:val="single" w:color="auto" w:sz="10" w:space="0"/>
              <w:bottom w:val="single" w:color="auto" w:sz="10" w:space="0"/>
              <w:right w:val="single" w:color="auto" w:sz="10" w:space="0"/>
              <w:insideV w:val="single" w:sz="10" w:space="0"/>
            </w:tcBorders>
            <w:vAlign w:val="center"/>
          </w:tcPr>
          <w:p w14:paraId="12B34D82">
            <w:pPr>
              <w:jc w:val="center"/>
            </w:pPr>
            <w:r>
              <w:rPr>
                <w:rFonts w:ascii="宋体" w:hAnsi="宋体" w:eastAsia="宋体"/>
                <w:sz w:val="16"/>
              </w:rPr>
              <w:t>预算数</w:t>
            </w:r>
          </w:p>
        </w:tc>
        <w:tc>
          <w:tcPr>
            <w:tcW w:w="1309" w:type="dxa"/>
            <w:tcBorders>
              <w:top w:val="single" w:color="auto" w:sz="10" w:space="0"/>
              <w:left w:val="single" w:color="auto" w:sz="10" w:space="0"/>
              <w:bottom w:val="single" w:color="auto" w:sz="10" w:space="0"/>
              <w:right w:val="single" w:color="auto" w:sz="10" w:space="0"/>
              <w:insideV w:val="single" w:sz="10" w:space="0"/>
            </w:tcBorders>
            <w:vAlign w:val="center"/>
          </w:tcPr>
          <w:p w14:paraId="2F5FD413">
            <w:pPr>
              <w:jc w:val="center"/>
            </w:pPr>
            <w:r>
              <w:rPr>
                <w:rFonts w:ascii="宋体" w:hAnsi="宋体" w:eastAsia="宋体"/>
                <w:sz w:val="16"/>
              </w:rPr>
              <w:t>执行数</w:t>
            </w:r>
          </w:p>
        </w:tc>
        <w:tc>
          <w:tcPr>
            <w:tcW w:w="901" w:type="dxa"/>
            <w:tcBorders>
              <w:top w:val="single" w:color="auto" w:sz="10" w:space="0"/>
              <w:left w:val="single" w:color="auto" w:sz="10" w:space="0"/>
              <w:bottom w:val="single" w:color="auto" w:sz="10" w:space="0"/>
              <w:right w:val="single" w:color="auto" w:sz="10" w:space="0"/>
              <w:insideV w:val="single" w:sz="10" w:space="0"/>
            </w:tcBorders>
            <w:vAlign w:val="center"/>
          </w:tcPr>
          <w:p w14:paraId="1E98D9F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816714">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434849">
            <w:pPr>
              <w:jc w:val="center"/>
            </w:pPr>
            <w:r>
              <w:rPr>
                <w:rFonts w:ascii="宋体" w:hAnsi="宋体" w:eastAsia="宋体"/>
                <w:sz w:val="16"/>
              </w:rPr>
              <w:t>得分</w:t>
            </w:r>
          </w:p>
        </w:tc>
      </w:tr>
      <w:tr w14:paraId="1EC0D6EA">
        <w:tblPrEx>
          <w:tblCellMar>
            <w:top w:w="0" w:type="dxa"/>
            <w:left w:w="108" w:type="dxa"/>
            <w:bottom w:w="0" w:type="dxa"/>
            <w:right w:w="108" w:type="dxa"/>
          </w:tblCellMar>
        </w:tblPrEx>
        <w:tc>
          <w:tcPr>
            <w:tcW w:w="942" w:type="dxa"/>
            <w:vMerge w:val="continue"/>
            <w:tcBorders>
              <w:top w:val="single" w:color="auto" w:sz="10" w:space="0"/>
              <w:left w:val="single" w:color="auto" w:sz="10" w:space="0"/>
              <w:bottom w:val="single" w:color="auto" w:sz="10" w:space="0"/>
              <w:right w:val="single" w:color="auto" w:sz="10" w:space="0"/>
              <w:insideV w:val="single" w:sz="10" w:space="0"/>
            </w:tcBorders>
          </w:tcPr>
          <w:p w14:paraId="3C6D193D"/>
        </w:tc>
        <w:tc>
          <w:tcPr>
            <w:tcW w:w="1093" w:type="dxa"/>
            <w:tcBorders>
              <w:top w:val="single" w:color="auto" w:sz="10" w:space="0"/>
              <w:left w:val="single" w:color="auto" w:sz="10" w:space="0"/>
              <w:bottom w:val="single" w:color="auto" w:sz="10" w:space="0"/>
              <w:right w:val="single" w:color="auto" w:sz="10" w:space="0"/>
              <w:insideV w:val="single" w:sz="10" w:space="0"/>
            </w:tcBorders>
            <w:vAlign w:val="center"/>
          </w:tcPr>
          <w:p w14:paraId="70364162">
            <w:pPr>
              <w:jc w:val="center"/>
            </w:pPr>
            <w:r>
              <w:rPr>
                <w:rFonts w:ascii="宋体" w:hAnsi="宋体" w:eastAsia="宋体"/>
                <w:sz w:val="16"/>
              </w:rPr>
              <w:t>年度总资金</w:t>
            </w:r>
          </w:p>
        </w:tc>
        <w:tc>
          <w:tcPr>
            <w:tcW w:w="1560" w:type="dxa"/>
            <w:tcBorders>
              <w:top w:val="single" w:color="auto" w:sz="10" w:space="0"/>
              <w:left w:val="single" w:color="auto" w:sz="10" w:space="0"/>
              <w:bottom w:val="single" w:color="auto" w:sz="10" w:space="0"/>
              <w:right w:val="single" w:color="auto" w:sz="10" w:space="0"/>
              <w:insideV w:val="single" w:sz="10" w:space="0"/>
            </w:tcBorders>
            <w:vAlign w:val="center"/>
          </w:tcPr>
          <w:p w14:paraId="33BF3EEC">
            <w:pPr>
              <w:jc w:val="center"/>
            </w:pPr>
            <w:r>
              <w:rPr>
                <w:rFonts w:ascii="宋体" w:hAnsi="宋体" w:eastAsia="宋体"/>
                <w:sz w:val="16"/>
              </w:rPr>
              <w:t>50.85</w:t>
            </w:r>
          </w:p>
        </w:tc>
        <w:tc>
          <w:tcPr>
            <w:tcW w:w="825" w:type="dxa"/>
            <w:tcBorders>
              <w:top w:val="single" w:color="auto" w:sz="10" w:space="0"/>
              <w:left w:val="single" w:color="auto" w:sz="10" w:space="0"/>
              <w:bottom w:val="single" w:color="auto" w:sz="10" w:space="0"/>
              <w:right w:val="single" w:color="auto" w:sz="10" w:space="0"/>
              <w:insideV w:val="single" w:sz="10" w:space="0"/>
            </w:tcBorders>
            <w:vAlign w:val="center"/>
          </w:tcPr>
          <w:p w14:paraId="2B577793">
            <w:pPr>
              <w:jc w:val="center"/>
            </w:pPr>
            <w:r>
              <w:rPr>
                <w:rFonts w:ascii="宋体" w:hAnsi="宋体" w:eastAsia="宋体"/>
                <w:sz w:val="16"/>
              </w:rPr>
              <w:t>51.32</w:t>
            </w:r>
          </w:p>
        </w:tc>
        <w:tc>
          <w:tcPr>
            <w:tcW w:w="1309" w:type="dxa"/>
            <w:tcBorders>
              <w:top w:val="single" w:color="auto" w:sz="10" w:space="0"/>
              <w:left w:val="single" w:color="auto" w:sz="10" w:space="0"/>
              <w:bottom w:val="single" w:color="auto" w:sz="10" w:space="0"/>
              <w:right w:val="single" w:color="auto" w:sz="10" w:space="0"/>
              <w:insideV w:val="single" w:sz="10" w:space="0"/>
            </w:tcBorders>
            <w:vAlign w:val="center"/>
          </w:tcPr>
          <w:p w14:paraId="0A9DA208">
            <w:pPr>
              <w:jc w:val="center"/>
            </w:pPr>
            <w:r>
              <w:rPr>
                <w:rFonts w:ascii="宋体" w:hAnsi="宋体" w:eastAsia="宋体"/>
                <w:sz w:val="16"/>
              </w:rPr>
              <w:t>51.32</w:t>
            </w:r>
          </w:p>
        </w:tc>
        <w:tc>
          <w:tcPr>
            <w:tcW w:w="901" w:type="dxa"/>
            <w:tcBorders>
              <w:top w:val="single" w:color="auto" w:sz="10" w:space="0"/>
              <w:left w:val="single" w:color="auto" w:sz="10" w:space="0"/>
              <w:bottom w:val="single" w:color="auto" w:sz="10" w:space="0"/>
              <w:right w:val="single" w:color="auto" w:sz="10" w:space="0"/>
              <w:insideV w:val="single" w:sz="10" w:space="0"/>
            </w:tcBorders>
            <w:vAlign w:val="center"/>
          </w:tcPr>
          <w:p w14:paraId="567678C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34857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83F54A">
            <w:pPr>
              <w:jc w:val="center"/>
            </w:pPr>
            <w:r>
              <w:rPr>
                <w:rFonts w:ascii="宋体" w:hAnsi="宋体" w:eastAsia="宋体"/>
                <w:sz w:val="16"/>
              </w:rPr>
              <w:t>10</w:t>
            </w:r>
          </w:p>
        </w:tc>
      </w:tr>
      <w:tr w14:paraId="6CEC98FE">
        <w:tblPrEx>
          <w:tblCellMar>
            <w:top w:w="0" w:type="dxa"/>
            <w:left w:w="108" w:type="dxa"/>
            <w:bottom w:w="0" w:type="dxa"/>
            <w:right w:w="108" w:type="dxa"/>
          </w:tblCellMar>
        </w:tblPrEx>
        <w:tc>
          <w:tcPr>
            <w:tcW w:w="942" w:type="dxa"/>
            <w:vMerge w:val="continue"/>
            <w:tcBorders>
              <w:top w:val="single" w:color="auto" w:sz="10" w:space="0"/>
              <w:left w:val="single" w:color="auto" w:sz="10" w:space="0"/>
              <w:bottom w:val="single" w:color="auto" w:sz="10" w:space="0"/>
              <w:right w:val="single" w:color="auto" w:sz="10" w:space="0"/>
              <w:insideV w:val="single" w:sz="10" w:space="0"/>
            </w:tcBorders>
          </w:tcPr>
          <w:p w14:paraId="0ED77085"/>
        </w:tc>
        <w:tc>
          <w:tcPr>
            <w:tcW w:w="1093" w:type="dxa"/>
            <w:tcBorders>
              <w:top w:val="single" w:color="auto" w:sz="10" w:space="0"/>
              <w:left w:val="single" w:color="auto" w:sz="10" w:space="0"/>
              <w:bottom w:val="single" w:color="auto" w:sz="10" w:space="0"/>
              <w:right w:val="single" w:color="auto" w:sz="10" w:space="0"/>
              <w:insideV w:val="single" w:sz="10" w:space="0"/>
            </w:tcBorders>
            <w:vAlign w:val="center"/>
          </w:tcPr>
          <w:p w14:paraId="0F8003B1">
            <w:pPr>
              <w:jc w:val="center"/>
            </w:pPr>
            <w:r>
              <w:rPr>
                <w:rFonts w:ascii="宋体" w:hAnsi="宋体" w:eastAsia="宋体"/>
                <w:sz w:val="16"/>
              </w:rPr>
              <w:t>其中：上级安排（万元）</w:t>
            </w:r>
          </w:p>
        </w:tc>
        <w:tc>
          <w:tcPr>
            <w:tcW w:w="1560" w:type="dxa"/>
            <w:tcBorders>
              <w:top w:val="single" w:color="auto" w:sz="10" w:space="0"/>
              <w:left w:val="single" w:color="auto" w:sz="10" w:space="0"/>
              <w:bottom w:val="single" w:color="auto" w:sz="10" w:space="0"/>
              <w:right w:val="single" w:color="auto" w:sz="10" w:space="0"/>
              <w:insideV w:val="single" w:sz="10" w:space="0"/>
            </w:tcBorders>
            <w:vAlign w:val="center"/>
          </w:tcPr>
          <w:p w14:paraId="0B4A6374">
            <w:pPr>
              <w:jc w:val="center"/>
            </w:pPr>
            <w:r>
              <w:rPr>
                <w:rFonts w:ascii="宋体" w:hAnsi="宋体" w:eastAsia="宋体"/>
                <w:sz w:val="16"/>
              </w:rPr>
              <w:t>0.00</w:t>
            </w:r>
          </w:p>
        </w:tc>
        <w:tc>
          <w:tcPr>
            <w:tcW w:w="825" w:type="dxa"/>
            <w:tcBorders>
              <w:top w:val="single" w:color="auto" w:sz="10" w:space="0"/>
              <w:left w:val="single" w:color="auto" w:sz="10" w:space="0"/>
              <w:bottom w:val="single" w:color="auto" w:sz="10" w:space="0"/>
              <w:right w:val="single" w:color="auto" w:sz="10" w:space="0"/>
              <w:insideV w:val="single" w:sz="10" w:space="0"/>
            </w:tcBorders>
            <w:vAlign w:val="center"/>
          </w:tcPr>
          <w:p w14:paraId="741A03A7">
            <w:pPr>
              <w:jc w:val="center"/>
            </w:pPr>
            <w:r>
              <w:rPr>
                <w:rFonts w:ascii="宋体" w:hAnsi="宋体" w:eastAsia="宋体"/>
                <w:sz w:val="16"/>
              </w:rPr>
              <w:t>0.00</w:t>
            </w:r>
          </w:p>
        </w:tc>
        <w:tc>
          <w:tcPr>
            <w:tcW w:w="1309" w:type="dxa"/>
            <w:tcBorders>
              <w:top w:val="single" w:color="auto" w:sz="10" w:space="0"/>
              <w:left w:val="single" w:color="auto" w:sz="10" w:space="0"/>
              <w:bottom w:val="single" w:color="auto" w:sz="10" w:space="0"/>
              <w:right w:val="single" w:color="auto" w:sz="10" w:space="0"/>
              <w:insideV w:val="single" w:sz="10" w:space="0"/>
            </w:tcBorders>
            <w:vAlign w:val="center"/>
          </w:tcPr>
          <w:p w14:paraId="5475DCDE">
            <w:pPr>
              <w:jc w:val="center"/>
            </w:pPr>
            <w:r>
              <w:rPr>
                <w:rFonts w:ascii="宋体" w:hAnsi="宋体" w:eastAsia="宋体"/>
                <w:sz w:val="16"/>
              </w:rPr>
              <w:t>0.00</w:t>
            </w:r>
          </w:p>
        </w:tc>
        <w:tc>
          <w:tcPr>
            <w:tcW w:w="901" w:type="dxa"/>
            <w:tcBorders>
              <w:top w:val="single" w:color="auto" w:sz="10" w:space="0"/>
              <w:left w:val="single" w:color="auto" w:sz="10" w:space="0"/>
              <w:bottom w:val="single" w:color="auto" w:sz="10" w:space="0"/>
              <w:right w:val="single" w:color="auto" w:sz="10" w:space="0"/>
              <w:insideV w:val="single" w:sz="10" w:space="0"/>
            </w:tcBorders>
            <w:vAlign w:val="center"/>
          </w:tcPr>
          <w:p w14:paraId="23FCC65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79C01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8B2BB3">
            <w:pPr>
              <w:jc w:val="center"/>
            </w:pPr>
            <w:r>
              <w:rPr>
                <w:rFonts w:ascii="宋体" w:hAnsi="宋体" w:eastAsia="宋体"/>
                <w:sz w:val="16"/>
              </w:rPr>
              <w:t>-</w:t>
            </w:r>
          </w:p>
        </w:tc>
      </w:tr>
      <w:tr w14:paraId="16BBE333">
        <w:tblPrEx>
          <w:tblCellMar>
            <w:top w:w="0" w:type="dxa"/>
            <w:left w:w="108" w:type="dxa"/>
            <w:bottom w:w="0" w:type="dxa"/>
            <w:right w:w="108" w:type="dxa"/>
          </w:tblCellMar>
        </w:tblPrEx>
        <w:tc>
          <w:tcPr>
            <w:tcW w:w="942" w:type="dxa"/>
            <w:vMerge w:val="continue"/>
            <w:tcBorders>
              <w:top w:val="single" w:color="auto" w:sz="10" w:space="0"/>
              <w:left w:val="single" w:color="auto" w:sz="10" w:space="0"/>
              <w:bottom w:val="single" w:color="auto" w:sz="10" w:space="0"/>
              <w:right w:val="single" w:color="auto" w:sz="10" w:space="0"/>
              <w:insideV w:val="single" w:sz="10" w:space="0"/>
            </w:tcBorders>
          </w:tcPr>
          <w:p w14:paraId="3260334C"/>
        </w:tc>
        <w:tc>
          <w:tcPr>
            <w:tcW w:w="1093" w:type="dxa"/>
            <w:tcBorders>
              <w:top w:val="single" w:color="auto" w:sz="10" w:space="0"/>
              <w:left w:val="single" w:color="auto" w:sz="10" w:space="0"/>
              <w:bottom w:val="single" w:color="auto" w:sz="10" w:space="0"/>
              <w:right w:val="single" w:color="auto" w:sz="10" w:space="0"/>
              <w:insideV w:val="single" w:sz="10" w:space="0"/>
            </w:tcBorders>
            <w:vAlign w:val="center"/>
          </w:tcPr>
          <w:p w14:paraId="190B2890">
            <w:pPr>
              <w:jc w:val="center"/>
            </w:pPr>
            <w:r>
              <w:rPr>
                <w:rFonts w:ascii="宋体" w:hAnsi="宋体" w:eastAsia="宋体"/>
                <w:sz w:val="16"/>
              </w:rPr>
              <w:t>本级安排（万元）</w:t>
            </w:r>
          </w:p>
        </w:tc>
        <w:tc>
          <w:tcPr>
            <w:tcW w:w="1560" w:type="dxa"/>
            <w:tcBorders>
              <w:top w:val="single" w:color="auto" w:sz="10" w:space="0"/>
              <w:left w:val="single" w:color="auto" w:sz="10" w:space="0"/>
              <w:bottom w:val="single" w:color="auto" w:sz="10" w:space="0"/>
              <w:right w:val="single" w:color="auto" w:sz="10" w:space="0"/>
              <w:insideV w:val="single" w:sz="10" w:space="0"/>
            </w:tcBorders>
            <w:vAlign w:val="center"/>
          </w:tcPr>
          <w:p w14:paraId="42837C22">
            <w:pPr>
              <w:jc w:val="center"/>
            </w:pPr>
            <w:r>
              <w:rPr>
                <w:rFonts w:ascii="宋体" w:hAnsi="宋体" w:eastAsia="宋体"/>
                <w:sz w:val="16"/>
              </w:rPr>
              <w:t>50.85</w:t>
            </w:r>
          </w:p>
        </w:tc>
        <w:tc>
          <w:tcPr>
            <w:tcW w:w="825" w:type="dxa"/>
            <w:tcBorders>
              <w:top w:val="single" w:color="auto" w:sz="10" w:space="0"/>
              <w:left w:val="single" w:color="auto" w:sz="10" w:space="0"/>
              <w:bottom w:val="single" w:color="auto" w:sz="10" w:space="0"/>
              <w:right w:val="single" w:color="auto" w:sz="10" w:space="0"/>
              <w:insideV w:val="single" w:sz="10" w:space="0"/>
            </w:tcBorders>
            <w:vAlign w:val="center"/>
          </w:tcPr>
          <w:p w14:paraId="2A351943">
            <w:pPr>
              <w:jc w:val="center"/>
            </w:pPr>
            <w:r>
              <w:rPr>
                <w:rFonts w:ascii="宋体" w:hAnsi="宋体" w:eastAsia="宋体"/>
                <w:sz w:val="16"/>
              </w:rPr>
              <w:t>51.32</w:t>
            </w:r>
          </w:p>
        </w:tc>
        <w:tc>
          <w:tcPr>
            <w:tcW w:w="1309" w:type="dxa"/>
            <w:tcBorders>
              <w:top w:val="single" w:color="auto" w:sz="10" w:space="0"/>
              <w:left w:val="single" w:color="auto" w:sz="10" w:space="0"/>
              <w:bottom w:val="single" w:color="auto" w:sz="10" w:space="0"/>
              <w:right w:val="single" w:color="auto" w:sz="10" w:space="0"/>
              <w:insideV w:val="single" w:sz="10" w:space="0"/>
            </w:tcBorders>
            <w:vAlign w:val="center"/>
          </w:tcPr>
          <w:p w14:paraId="5ACD29DE">
            <w:pPr>
              <w:jc w:val="center"/>
            </w:pPr>
            <w:r>
              <w:rPr>
                <w:rFonts w:ascii="宋体" w:hAnsi="宋体" w:eastAsia="宋体"/>
                <w:sz w:val="16"/>
              </w:rPr>
              <w:t>51.32</w:t>
            </w:r>
          </w:p>
        </w:tc>
        <w:tc>
          <w:tcPr>
            <w:tcW w:w="901" w:type="dxa"/>
            <w:tcBorders>
              <w:top w:val="single" w:color="auto" w:sz="10" w:space="0"/>
              <w:left w:val="single" w:color="auto" w:sz="10" w:space="0"/>
              <w:bottom w:val="single" w:color="auto" w:sz="10" w:space="0"/>
              <w:right w:val="single" w:color="auto" w:sz="10" w:space="0"/>
              <w:insideV w:val="single" w:sz="10" w:space="0"/>
            </w:tcBorders>
            <w:vAlign w:val="center"/>
          </w:tcPr>
          <w:p w14:paraId="733AC76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5EE63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2E0171">
            <w:pPr>
              <w:jc w:val="center"/>
            </w:pPr>
            <w:r>
              <w:rPr>
                <w:rFonts w:ascii="宋体" w:hAnsi="宋体" w:eastAsia="宋体"/>
                <w:sz w:val="16"/>
              </w:rPr>
              <w:t>-</w:t>
            </w:r>
          </w:p>
        </w:tc>
      </w:tr>
      <w:tr w14:paraId="15A9C393">
        <w:tblPrEx>
          <w:tblCellMar>
            <w:top w:w="0" w:type="dxa"/>
            <w:left w:w="108" w:type="dxa"/>
            <w:bottom w:w="0" w:type="dxa"/>
            <w:right w:w="108" w:type="dxa"/>
          </w:tblCellMar>
        </w:tblPrEx>
        <w:tc>
          <w:tcPr>
            <w:tcW w:w="942" w:type="dxa"/>
            <w:vMerge w:val="continue"/>
            <w:tcBorders>
              <w:top w:val="single" w:color="auto" w:sz="10" w:space="0"/>
              <w:left w:val="single" w:color="auto" w:sz="10" w:space="0"/>
              <w:bottom w:val="single" w:color="auto" w:sz="10" w:space="0"/>
              <w:right w:val="single" w:color="auto" w:sz="10" w:space="0"/>
              <w:insideV w:val="single" w:sz="10" w:space="0"/>
            </w:tcBorders>
          </w:tcPr>
          <w:p w14:paraId="001B4246"/>
        </w:tc>
        <w:tc>
          <w:tcPr>
            <w:tcW w:w="1093" w:type="dxa"/>
            <w:tcBorders>
              <w:top w:val="single" w:color="auto" w:sz="10" w:space="0"/>
              <w:left w:val="single" w:color="auto" w:sz="10" w:space="0"/>
              <w:bottom w:val="single" w:color="auto" w:sz="10" w:space="0"/>
              <w:right w:val="single" w:color="auto" w:sz="10" w:space="0"/>
              <w:insideV w:val="single" w:sz="10" w:space="0"/>
            </w:tcBorders>
            <w:vAlign w:val="center"/>
          </w:tcPr>
          <w:p w14:paraId="66972D31">
            <w:pPr>
              <w:jc w:val="center"/>
            </w:pPr>
            <w:r>
              <w:rPr>
                <w:rFonts w:ascii="宋体" w:hAnsi="宋体" w:eastAsia="宋体"/>
                <w:sz w:val="16"/>
              </w:rPr>
              <w:t>其他资金（万元）</w:t>
            </w:r>
          </w:p>
        </w:tc>
        <w:tc>
          <w:tcPr>
            <w:tcW w:w="1560" w:type="dxa"/>
            <w:tcBorders>
              <w:top w:val="single" w:color="auto" w:sz="10" w:space="0"/>
              <w:left w:val="single" w:color="auto" w:sz="10" w:space="0"/>
              <w:bottom w:val="single" w:color="auto" w:sz="10" w:space="0"/>
              <w:right w:val="single" w:color="auto" w:sz="10" w:space="0"/>
              <w:insideV w:val="single" w:sz="10" w:space="0"/>
            </w:tcBorders>
            <w:vAlign w:val="center"/>
          </w:tcPr>
          <w:p w14:paraId="5E69B5AE">
            <w:pPr>
              <w:jc w:val="center"/>
            </w:pPr>
            <w:r>
              <w:rPr>
                <w:rFonts w:ascii="宋体" w:hAnsi="宋体" w:eastAsia="宋体"/>
                <w:sz w:val="16"/>
              </w:rPr>
              <w:t>0.00</w:t>
            </w:r>
          </w:p>
        </w:tc>
        <w:tc>
          <w:tcPr>
            <w:tcW w:w="825" w:type="dxa"/>
            <w:tcBorders>
              <w:top w:val="single" w:color="auto" w:sz="10" w:space="0"/>
              <w:left w:val="single" w:color="auto" w:sz="10" w:space="0"/>
              <w:bottom w:val="single" w:color="auto" w:sz="10" w:space="0"/>
              <w:right w:val="single" w:color="auto" w:sz="10" w:space="0"/>
              <w:insideV w:val="single" w:sz="10" w:space="0"/>
            </w:tcBorders>
            <w:vAlign w:val="center"/>
          </w:tcPr>
          <w:p w14:paraId="5A571404">
            <w:pPr>
              <w:jc w:val="center"/>
            </w:pPr>
            <w:r>
              <w:rPr>
                <w:rFonts w:ascii="宋体" w:hAnsi="宋体" w:eastAsia="宋体"/>
                <w:sz w:val="16"/>
              </w:rPr>
              <w:t>0.00</w:t>
            </w:r>
          </w:p>
        </w:tc>
        <w:tc>
          <w:tcPr>
            <w:tcW w:w="1309" w:type="dxa"/>
            <w:tcBorders>
              <w:top w:val="single" w:color="auto" w:sz="10" w:space="0"/>
              <w:left w:val="single" w:color="auto" w:sz="10" w:space="0"/>
              <w:bottom w:val="single" w:color="auto" w:sz="10" w:space="0"/>
              <w:right w:val="single" w:color="auto" w:sz="10" w:space="0"/>
              <w:insideV w:val="single" w:sz="10" w:space="0"/>
            </w:tcBorders>
            <w:vAlign w:val="center"/>
          </w:tcPr>
          <w:p w14:paraId="588ABF13">
            <w:pPr>
              <w:jc w:val="center"/>
            </w:pPr>
            <w:r>
              <w:rPr>
                <w:rFonts w:ascii="宋体" w:hAnsi="宋体" w:eastAsia="宋体"/>
                <w:sz w:val="16"/>
              </w:rPr>
              <w:t>0.00</w:t>
            </w:r>
          </w:p>
        </w:tc>
        <w:tc>
          <w:tcPr>
            <w:tcW w:w="901" w:type="dxa"/>
            <w:tcBorders>
              <w:top w:val="single" w:color="auto" w:sz="10" w:space="0"/>
              <w:left w:val="single" w:color="auto" w:sz="10" w:space="0"/>
              <w:bottom w:val="single" w:color="auto" w:sz="10" w:space="0"/>
              <w:right w:val="single" w:color="auto" w:sz="10" w:space="0"/>
              <w:insideV w:val="single" w:sz="10" w:space="0"/>
            </w:tcBorders>
            <w:vAlign w:val="center"/>
          </w:tcPr>
          <w:p w14:paraId="67AA774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ECA16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70CE60">
            <w:pPr>
              <w:jc w:val="center"/>
            </w:pPr>
            <w:r>
              <w:rPr>
                <w:rFonts w:ascii="宋体" w:hAnsi="宋体" w:eastAsia="宋体"/>
                <w:sz w:val="16"/>
              </w:rPr>
              <w:t>-</w:t>
            </w:r>
          </w:p>
        </w:tc>
      </w:tr>
      <w:tr w14:paraId="0EEE2E39">
        <w:tblPrEx>
          <w:tblCellMar>
            <w:top w:w="0" w:type="dxa"/>
            <w:left w:w="108" w:type="dxa"/>
            <w:bottom w:w="0" w:type="dxa"/>
            <w:right w:w="108" w:type="dxa"/>
          </w:tblCellMar>
        </w:tblPrEx>
        <w:tc>
          <w:tcPr>
            <w:tcW w:w="94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6AE464">
            <w:pPr>
              <w:jc w:val="center"/>
            </w:pPr>
            <w:r>
              <w:rPr>
                <w:rFonts w:ascii="宋体" w:hAnsi="宋体" w:eastAsia="宋体"/>
                <w:sz w:val="16"/>
              </w:rPr>
              <w:t>年度总目标</w:t>
            </w:r>
          </w:p>
        </w:tc>
        <w:tc>
          <w:tcPr>
            <w:tcW w:w="347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8259BB4">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3CC0829">
            <w:pPr>
              <w:jc w:val="center"/>
            </w:pPr>
            <w:r>
              <w:rPr>
                <w:rFonts w:ascii="宋体" w:hAnsi="宋体" w:eastAsia="宋体"/>
                <w:sz w:val="16"/>
              </w:rPr>
              <w:t>实际完成情况</w:t>
            </w:r>
          </w:p>
        </w:tc>
      </w:tr>
      <w:tr w14:paraId="0847ECD6">
        <w:tblPrEx>
          <w:tblCellMar>
            <w:top w:w="0" w:type="dxa"/>
            <w:left w:w="108" w:type="dxa"/>
            <w:bottom w:w="0" w:type="dxa"/>
            <w:right w:w="108" w:type="dxa"/>
          </w:tblCellMar>
        </w:tblPrEx>
        <w:tc>
          <w:tcPr>
            <w:tcW w:w="942" w:type="dxa"/>
            <w:vMerge w:val="continue"/>
            <w:tcBorders>
              <w:top w:val="single" w:color="auto" w:sz="10" w:space="0"/>
              <w:left w:val="single" w:color="auto" w:sz="10" w:space="0"/>
              <w:bottom w:val="single" w:color="auto" w:sz="10" w:space="0"/>
              <w:right w:val="single" w:color="auto" w:sz="10" w:space="0"/>
              <w:insideV w:val="single" w:sz="10" w:space="0"/>
            </w:tcBorders>
          </w:tcPr>
          <w:p w14:paraId="67BDC45B"/>
        </w:tc>
        <w:tc>
          <w:tcPr>
            <w:tcW w:w="347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E5A7D46">
            <w:pPr>
              <w:jc w:val="both"/>
            </w:pPr>
            <w:r>
              <w:rPr>
                <w:rFonts w:ascii="宋体" w:hAnsi="宋体" w:eastAsia="宋体"/>
                <w:sz w:val="16"/>
              </w:rPr>
              <w:t>2024年，坚持以习近平新时代中国特色社会主义思想为指导，全面贯彻党的二十大精神，贯彻落实习近平总书记关于博物馆工作的重要论述和重要指示批示精神，深入挖掘阐发根植于中华优秀传统文化深刻的思想内涵，充分发挥托里县博物馆在坚持道路自信、理论自信、制度自信、文化自信中的阵地作用；全面贯彻落实全国文物工作会议精神，宣传展示新时代文物保护利用和文化遗产保护传承的新成果新进展，增强全社会参与文物保护和博物馆工作意识，通过全年免费开放300天以上和20场次流动博物馆巡展等形式多样的社会教育活动，吸引不少于3万人次以上游客进入博物馆，让历史发声，让文物说话，持续铸牢托里各族人民中华民族共同体意识。</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592B5E9">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坚持以习近平新时代中国特色社会主义思想为指导，全面贯彻党的二十大精神，贯彻落实习近平总书记关于博物馆工作的重要论述和重要</w:t>
            </w:r>
            <w:bookmarkStart w:id="0" w:name="_GoBack"/>
            <w:r>
              <w:rPr>
                <w:rFonts w:ascii="宋体" w:hAnsi="宋体" w:eastAsia="宋体"/>
                <w:sz w:val="16"/>
              </w:rPr>
              <w:t>指示批示精神</w:t>
            </w:r>
            <w:bookmarkEnd w:id="0"/>
            <w:r>
              <w:rPr>
                <w:rFonts w:ascii="宋体" w:hAnsi="宋体" w:eastAsia="宋体"/>
                <w:sz w:val="16"/>
              </w:rPr>
              <w:t>，深入挖掘阐发根植于中华优秀传统文化深刻的思想内涵，充分发挥托里县博物馆在坚持道路自信、理论自信、制度自信、文化自信中的阵地作用；通过博物馆全年免费开放、流动博物馆巡展等增强全社会参与文物保护和博物馆工作意识，通过全年免费开放300天以上和20场次流动博物馆巡展等形式多样的社会教育活动，吸引不少于3万人次以上游客进入博物馆，让历史发声，让文物说话，持续铸牢托里各族人民中华民族共同体意识。</w:t>
            </w:r>
          </w:p>
        </w:tc>
      </w:tr>
      <w:tr w14:paraId="1681FEFB">
        <w:tblPrEx>
          <w:tblCellMar>
            <w:top w:w="0" w:type="dxa"/>
            <w:left w:w="108" w:type="dxa"/>
            <w:bottom w:w="0" w:type="dxa"/>
            <w:right w:w="108" w:type="dxa"/>
          </w:tblCellMar>
        </w:tblPrEx>
        <w:tc>
          <w:tcPr>
            <w:tcW w:w="942" w:type="dxa"/>
            <w:tcBorders>
              <w:top w:val="single" w:color="auto" w:sz="10" w:space="0"/>
              <w:left w:val="single" w:color="auto" w:sz="10" w:space="0"/>
              <w:bottom w:val="single" w:color="auto" w:sz="10" w:space="0"/>
              <w:right w:val="single" w:color="auto" w:sz="10" w:space="0"/>
              <w:insideV w:val="single" w:sz="10" w:space="0"/>
            </w:tcBorders>
            <w:vAlign w:val="center"/>
          </w:tcPr>
          <w:p w14:paraId="5C4ED80F">
            <w:pPr>
              <w:jc w:val="center"/>
            </w:pPr>
            <w:r>
              <w:rPr>
                <w:rFonts w:ascii="宋体" w:hAnsi="宋体" w:eastAsia="宋体"/>
                <w:sz w:val="16"/>
              </w:rPr>
              <w:t>一级指标</w:t>
            </w:r>
          </w:p>
        </w:tc>
        <w:tc>
          <w:tcPr>
            <w:tcW w:w="1093" w:type="dxa"/>
            <w:tcBorders>
              <w:top w:val="single" w:color="auto" w:sz="10" w:space="0"/>
              <w:left w:val="single" w:color="auto" w:sz="10" w:space="0"/>
              <w:bottom w:val="single" w:color="auto" w:sz="10" w:space="0"/>
              <w:right w:val="single" w:color="auto" w:sz="10" w:space="0"/>
              <w:insideV w:val="single" w:sz="10" w:space="0"/>
            </w:tcBorders>
            <w:vAlign w:val="center"/>
          </w:tcPr>
          <w:p w14:paraId="1BD94AFF">
            <w:pPr>
              <w:jc w:val="center"/>
            </w:pPr>
            <w:r>
              <w:rPr>
                <w:rFonts w:ascii="宋体" w:hAnsi="宋体" w:eastAsia="宋体"/>
                <w:sz w:val="16"/>
              </w:rPr>
              <w:t>二级指标</w:t>
            </w:r>
          </w:p>
        </w:tc>
        <w:tc>
          <w:tcPr>
            <w:tcW w:w="1560" w:type="dxa"/>
            <w:tcBorders>
              <w:top w:val="single" w:color="auto" w:sz="10" w:space="0"/>
              <w:left w:val="single" w:color="auto" w:sz="10" w:space="0"/>
              <w:bottom w:val="single" w:color="auto" w:sz="10" w:space="0"/>
              <w:right w:val="single" w:color="auto" w:sz="10" w:space="0"/>
              <w:insideV w:val="single" w:sz="10" w:space="0"/>
            </w:tcBorders>
            <w:vAlign w:val="center"/>
          </w:tcPr>
          <w:p w14:paraId="0880A542">
            <w:pPr>
              <w:jc w:val="center"/>
            </w:pPr>
            <w:r>
              <w:rPr>
                <w:rFonts w:ascii="宋体" w:hAnsi="宋体" w:eastAsia="宋体"/>
                <w:sz w:val="16"/>
              </w:rPr>
              <w:t>三级指标</w:t>
            </w:r>
          </w:p>
        </w:tc>
        <w:tc>
          <w:tcPr>
            <w:tcW w:w="825" w:type="dxa"/>
            <w:tcBorders>
              <w:top w:val="single" w:color="auto" w:sz="10" w:space="0"/>
              <w:left w:val="single" w:color="auto" w:sz="10" w:space="0"/>
              <w:bottom w:val="single" w:color="auto" w:sz="10" w:space="0"/>
              <w:right w:val="single" w:color="auto" w:sz="10" w:space="0"/>
              <w:insideV w:val="single" w:sz="10" w:space="0"/>
            </w:tcBorders>
            <w:vAlign w:val="center"/>
          </w:tcPr>
          <w:p w14:paraId="54D07C0F">
            <w:pPr>
              <w:jc w:val="center"/>
            </w:pPr>
            <w:r>
              <w:rPr>
                <w:rFonts w:ascii="宋体" w:hAnsi="宋体" w:eastAsia="宋体"/>
                <w:sz w:val="16"/>
              </w:rPr>
              <w:t>指标值</w:t>
            </w:r>
          </w:p>
        </w:tc>
        <w:tc>
          <w:tcPr>
            <w:tcW w:w="1309" w:type="dxa"/>
            <w:tcBorders>
              <w:top w:val="single" w:color="auto" w:sz="10" w:space="0"/>
              <w:left w:val="single" w:color="auto" w:sz="10" w:space="0"/>
              <w:bottom w:val="single" w:color="auto" w:sz="10" w:space="0"/>
              <w:right w:val="single" w:color="auto" w:sz="10" w:space="0"/>
              <w:insideV w:val="single" w:sz="10" w:space="0"/>
            </w:tcBorders>
            <w:vAlign w:val="center"/>
          </w:tcPr>
          <w:p w14:paraId="1DCA8CE0">
            <w:pPr>
              <w:jc w:val="center"/>
            </w:pPr>
            <w:r>
              <w:rPr>
                <w:rFonts w:ascii="宋体" w:hAnsi="宋体" w:eastAsia="宋体"/>
                <w:sz w:val="16"/>
              </w:rPr>
              <w:t>指标设定依据</w:t>
            </w:r>
          </w:p>
        </w:tc>
        <w:tc>
          <w:tcPr>
            <w:tcW w:w="901" w:type="dxa"/>
            <w:tcBorders>
              <w:top w:val="single" w:color="auto" w:sz="10" w:space="0"/>
              <w:left w:val="single" w:color="auto" w:sz="10" w:space="0"/>
              <w:bottom w:val="single" w:color="auto" w:sz="10" w:space="0"/>
              <w:right w:val="single" w:color="auto" w:sz="10" w:space="0"/>
              <w:insideV w:val="single" w:sz="10" w:space="0"/>
            </w:tcBorders>
            <w:vAlign w:val="center"/>
          </w:tcPr>
          <w:p w14:paraId="499E15B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4F8D16">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CBCCE0">
            <w:pPr>
              <w:jc w:val="center"/>
            </w:pPr>
            <w:r>
              <w:rPr>
                <w:rFonts w:ascii="宋体" w:hAnsi="宋体" w:eastAsia="宋体"/>
                <w:sz w:val="16"/>
              </w:rPr>
              <w:t>得分</w:t>
            </w:r>
          </w:p>
        </w:tc>
      </w:tr>
      <w:tr w14:paraId="6F8F91D6">
        <w:tblPrEx>
          <w:tblCellMar>
            <w:top w:w="0" w:type="dxa"/>
            <w:left w:w="108" w:type="dxa"/>
            <w:bottom w:w="0" w:type="dxa"/>
            <w:right w:w="108" w:type="dxa"/>
          </w:tblCellMar>
        </w:tblPrEx>
        <w:tc>
          <w:tcPr>
            <w:tcW w:w="94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8B5789">
            <w:pPr>
              <w:jc w:val="center"/>
            </w:pPr>
            <w:r>
              <w:rPr>
                <w:rFonts w:ascii="宋体" w:hAnsi="宋体" w:eastAsia="宋体"/>
                <w:sz w:val="16"/>
              </w:rPr>
              <w:t>履职效能</w:t>
            </w:r>
          </w:p>
        </w:tc>
        <w:tc>
          <w:tcPr>
            <w:tcW w:w="10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B22378">
            <w:pPr>
              <w:jc w:val="center"/>
            </w:pPr>
            <w:r>
              <w:rPr>
                <w:rFonts w:ascii="宋体" w:hAnsi="宋体" w:eastAsia="宋体"/>
                <w:sz w:val="16"/>
              </w:rPr>
              <w:t>数量指标</w:t>
            </w:r>
          </w:p>
        </w:tc>
        <w:tc>
          <w:tcPr>
            <w:tcW w:w="1560" w:type="dxa"/>
            <w:tcBorders>
              <w:top w:val="single" w:color="auto" w:sz="10" w:space="0"/>
              <w:left w:val="single" w:color="auto" w:sz="10" w:space="0"/>
              <w:bottom w:val="single" w:color="auto" w:sz="10" w:space="0"/>
              <w:right w:val="single" w:color="auto" w:sz="10" w:space="0"/>
              <w:insideV w:val="single" w:sz="10" w:space="0"/>
            </w:tcBorders>
            <w:vAlign w:val="center"/>
          </w:tcPr>
          <w:p w14:paraId="70620FB9">
            <w:pPr>
              <w:jc w:val="center"/>
            </w:pPr>
            <w:r>
              <w:rPr>
                <w:rFonts w:ascii="宋体" w:hAnsi="宋体" w:eastAsia="宋体"/>
                <w:sz w:val="16"/>
              </w:rPr>
              <w:t>年免费开放天数</w:t>
            </w:r>
          </w:p>
        </w:tc>
        <w:tc>
          <w:tcPr>
            <w:tcW w:w="825" w:type="dxa"/>
            <w:tcBorders>
              <w:top w:val="single" w:color="auto" w:sz="10" w:space="0"/>
              <w:left w:val="single" w:color="auto" w:sz="10" w:space="0"/>
              <w:bottom w:val="single" w:color="auto" w:sz="10" w:space="0"/>
              <w:right w:val="single" w:color="auto" w:sz="10" w:space="0"/>
              <w:insideV w:val="single" w:sz="10" w:space="0"/>
            </w:tcBorders>
            <w:vAlign w:val="center"/>
          </w:tcPr>
          <w:p w14:paraId="2DDE2DCF">
            <w:pPr>
              <w:jc w:val="center"/>
            </w:pPr>
            <w:r>
              <w:rPr>
                <w:rFonts w:ascii="宋体" w:hAnsi="宋体" w:eastAsia="宋体"/>
                <w:sz w:val="16"/>
              </w:rPr>
              <w:t>&gt;=300天</w:t>
            </w:r>
          </w:p>
        </w:tc>
        <w:tc>
          <w:tcPr>
            <w:tcW w:w="1309" w:type="dxa"/>
            <w:tcBorders>
              <w:top w:val="single" w:color="auto" w:sz="10" w:space="0"/>
              <w:left w:val="single" w:color="auto" w:sz="10" w:space="0"/>
              <w:bottom w:val="single" w:color="auto" w:sz="10" w:space="0"/>
              <w:right w:val="single" w:color="auto" w:sz="10" w:space="0"/>
              <w:insideV w:val="single" w:sz="10" w:space="0"/>
            </w:tcBorders>
            <w:vAlign w:val="center"/>
          </w:tcPr>
          <w:p w14:paraId="1762AB45">
            <w:pPr>
              <w:jc w:val="center"/>
            </w:pPr>
            <w:r>
              <w:rPr>
                <w:rFonts w:ascii="宋体" w:hAnsi="宋体" w:eastAsia="宋体"/>
                <w:sz w:val="16"/>
              </w:rPr>
              <w:t>年度工作计划</w:t>
            </w:r>
          </w:p>
        </w:tc>
        <w:tc>
          <w:tcPr>
            <w:tcW w:w="901" w:type="dxa"/>
            <w:tcBorders>
              <w:top w:val="single" w:color="auto" w:sz="10" w:space="0"/>
              <w:left w:val="single" w:color="auto" w:sz="10" w:space="0"/>
              <w:bottom w:val="single" w:color="auto" w:sz="10" w:space="0"/>
              <w:right w:val="single" w:color="auto" w:sz="10" w:space="0"/>
              <w:insideV w:val="single" w:sz="10" w:space="0"/>
            </w:tcBorders>
            <w:vAlign w:val="center"/>
          </w:tcPr>
          <w:p w14:paraId="122F0B9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4684E9">
            <w:pPr>
              <w:jc w:val="center"/>
            </w:pPr>
            <w:r>
              <w:rPr>
                <w:rFonts w:ascii="宋体" w:hAnsi="宋体" w:eastAsia="宋体"/>
                <w:sz w:val="16"/>
              </w:rPr>
              <w:t>300天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FAEAB0">
            <w:pPr>
              <w:jc w:val="center"/>
            </w:pPr>
            <w:r>
              <w:rPr>
                <w:rFonts w:ascii="宋体" w:hAnsi="宋体" w:eastAsia="宋体"/>
                <w:sz w:val="16"/>
              </w:rPr>
              <w:t>15</w:t>
            </w:r>
          </w:p>
        </w:tc>
      </w:tr>
      <w:tr w14:paraId="597E4F35">
        <w:tblPrEx>
          <w:tblCellMar>
            <w:top w:w="0" w:type="dxa"/>
            <w:left w:w="108" w:type="dxa"/>
            <w:bottom w:w="0" w:type="dxa"/>
            <w:right w:w="108" w:type="dxa"/>
          </w:tblCellMar>
        </w:tblPrEx>
        <w:tc>
          <w:tcPr>
            <w:tcW w:w="942" w:type="dxa"/>
            <w:vMerge w:val="continue"/>
            <w:tcBorders>
              <w:top w:val="single" w:color="auto" w:sz="10" w:space="0"/>
              <w:left w:val="single" w:color="auto" w:sz="10" w:space="0"/>
              <w:bottom w:val="single" w:color="auto" w:sz="10" w:space="0"/>
              <w:right w:val="single" w:color="auto" w:sz="10" w:space="0"/>
              <w:insideV w:val="single" w:sz="10" w:space="0"/>
            </w:tcBorders>
          </w:tcPr>
          <w:p w14:paraId="18145DA3"/>
        </w:tc>
        <w:tc>
          <w:tcPr>
            <w:tcW w:w="1093" w:type="dxa"/>
            <w:vMerge w:val="continue"/>
            <w:tcBorders>
              <w:top w:val="single" w:color="auto" w:sz="10" w:space="0"/>
              <w:left w:val="single" w:color="auto" w:sz="10" w:space="0"/>
              <w:bottom w:val="single" w:color="auto" w:sz="10" w:space="0"/>
              <w:right w:val="single" w:color="auto" w:sz="10" w:space="0"/>
              <w:insideV w:val="single" w:sz="10" w:space="0"/>
            </w:tcBorders>
          </w:tcPr>
          <w:p w14:paraId="50FFE3B3"/>
        </w:tc>
        <w:tc>
          <w:tcPr>
            <w:tcW w:w="1560" w:type="dxa"/>
            <w:tcBorders>
              <w:top w:val="single" w:color="auto" w:sz="10" w:space="0"/>
              <w:left w:val="single" w:color="auto" w:sz="10" w:space="0"/>
              <w:bottom w:val="single" w:color="auto" w:sz="10" w:space="0"/>
              <w:right w:val="single" w:color="auto" w:sz="10" w:space="0"/>
              <w:insideV w:val="single" w:sz="10" w:space="0"/>
            </w:tcBorders>
            <w:vAlign w:val="center"/>
          </w:tcPr>
          <w:p w14:paraId="67DB7D7D">
            <w:pPr>
              <w:jc w:val="center"/>
            </w:pPr>
            <w:r>
              <w:rPr>
                <w:rFonts w:ascii="宋体" w:hAnsi="宋体" w:eastAsia="宋体"/>
                <w:sz w:val="16"/>
              </w:rPr>
              <w:t>陈列布展文物数量</w:t>
            </w:r>
          </w:p>
        </w:tc>
        <w:tc>
          <w:tcPr>
            <w:tcW w:w="825" w:type="dxa"/>
            <w:tcBorders>
              <w:top w:val="single" w:color="auto" w:sz="10" w:space="0"/>
              <w:left w:val="single" w:color="auto" w:sz="10" w:space="0"/>
              <w:bottom w:val="single" w:color="auto" w:sz="10" w:space="0"/>
              <w:right w:val="single" w:color="auto" w:sz="10" w:space="0"/>
              <w:insideV w:val="single" w:sz="10" w:space="0"/>
            </w:tcBorders>
            <w:vAlign w:val="center"/>
          </w:tcPr>
          <w:p w14:paraId="7D7DE394">
            <w:pPr>
              <w:jc w:val="center"/>
            </w:pPr>
            <w:r>
              <w:rPr>
                <w:rFonts w:ascii="宋体" w:hAnsi="宋体" w:eastAsia="宋体"/>
                <w:sz w:val="16"/>
              </w:rPr>
              <w:t>&gt;=115件</w:t>
            </w:r>
          </w:p>
        </w:tc>
        <w:tc>
          <w:tcPr>
            <w:tcW w:w="1309" w:type="dxa"/>
            <w:tcBorders>
              <w:top w:val="single" w:color="auto" w:sz="10" w:space="0"/>
              <w:left w:val="single" w:color="auto" w:sz="10" w:space="0"/>
              <w:bottom w:val="single" w:color="auto" w:sz="10" w:space="0"/>
              <w:right w:val="single" w:color="auto" w:sz="10" w:space="0"/>
              <w:insideV w:val="single" w:sz="10" w:space="0"/>
            </w:tcBorders>
            <w:vAlign w:val="center"/>
          </w:tcPr>
          <w:p w14:paraId="56180E48">
            <w:pPr>
              <w:jc w:val="center"/>
            </w:pPr>
            <w:r>
              <w:rPr>
                <w:rFonts w:ascii="宋体" w:hAnsi="宋体" w:eastAsia="宋体"/>
                <w:sz w:val="16"/>
              </w:rPr>
              <w:t>年度工作计划</w:t>
            </w:r>
          </w:p>
        </w:tc>
        <w:tc>
          <w:tcPr>
            <w:tcW w:w="901" w:type="dxa"/>
            <w:tcBorders>
              <w:top w:val="single" w:color="auto" w:sz="10" w:space="0"/>
              <w:left w:val="single" w:color="auto" w:sz="10" w:space="0"/>
              <w:bottom w:val="single" w:color="auto" w:sz="10" w:space="0"/>
              <w:right w:val="single" w:color="auto" w:sz="10" w:space="0"/>
              <w:insideV w:val="single" w:sz="10" w:space="0"/>
            </w:tcBorders>
            <w:vAlign w:val="center"/>
          </w:tcPr>
          <w:p w14:paraId="31C323E7">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6487EB">
            <w:pPr>
              <w:jc w:val="center"/>
            </w:pPr>
            <w:r>
              <w:rPr>
                <w:rFonts w:ascii="宋体" w:hAnsi="宋体" w:eastAsia="宋体"/>
                <w:sz w:val="16"/>
              </w:rPr>
              <w:t>115件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A915B3">
            <w:pPr>
              <w:jc w:val="center"/>
            </w:pPr>
            <w:r>
              <w:rPr>
                <w:rFonts w:ascii="宋体" w:hAnsi="宋体" w:eastAsia="宋体"/>
                <w:sz w:val="16"/>
              </w:rPr>
              <w:t>15</w:t>
            </w:r>
          </w:p>
        </w:tc>
      </w:tr>
      <w:tr w14:paraId="56EFB6AB">
        <w:tblPrEx>
          <w:tblCellMar>
            <w:top w:w="0" w:type="dxa"/>
            <w:left w:w="108" w:type="dxa"/>
            <w:bottom w:w="0" w:type="dxa"/>
            <w:right w:w="108" w:type="dxa"/>
          </w:tblCellMar>
        </w:tblPrEx>
        <w:tc>
          <w:tcPr>
            <w:tcW w:w="942" w:type="dxa"/>
            <w:vMerge w:val="continue"/>
            <w:tcBorders>
              <w:top w:val="single" w:color="auto" w:sz="10" w:space="0"/>
              <w:left w:val="single" w:color="auto" w:sz="10" w:space="0"/>
              <w:bottom w:val="single" w:color="auto" w:sz="10" w:space="0"/>
              <w:right w:val="single" w:color="auto" w:sz="10" w:space="0"/>
              <w:insideV w:val="single" w:sz="10" w:space="0"/>
            </w:tcBorders>
          </w:tcPr>
          <w:p w14:paraId="5F25373A"/>
        </w:tc>
        <w:tc>
          <w:tcPr>
            <w:tcW w:w="1093" w:type="dxa"/>
            <w:vMerge w:val="continue"/>
            <w:tcBorders>
              <w:top w:val="single" w:color="auto" w:sz="10" w:space="0"/>
              <w:left w:val="single" w:color="auto" w:sz="10" w:space="0"/>
              <w:bottom w:val="single" w:color="auto" w:sz="10" w:space="0"/>
              <w:right w:val="single" w:color="auto" w:sz="10" w:space="0"/>
              <w:insideV w:val="single" w:sz="10" w:space="0"/>
            </w:tcBorders>
          </w:tcPr>
          <w:p w14:paraId="238AED8E"/>
        </w:tc>
        <w:tc>
          <w:tcPr>
            <w:tcW w:w="1560" w:type="dxa"/>
            <w:tcBorders>
              <w:top w:val="single" w:color="auto" w:sz="10" w:space="0"/>
              <w:left w:val="single" w:color="auto" w:sz="10" w:space="0"/>
              <w:bottom w:val="single" w:color="auto" w:sz="10" w:space="0"/>
              <w:right w:val="single" w:color="auto" w:sz="10" w:space="0"/>
              <w:insideV w:val="single" w:sz="10" w:space="0"/>
            </w:tcBorders>
            <w:vAlign w:val="center"/>
          </w:tcPr>
          <w:p w14:paraId="198FF9CA">
            <w:pPr>
              <w:jc w:val="center"/>
            </w:pPr>
            <w:r>
              <w:rPr>
                <w:rFonts w:ascii="宋体" w:hAnsi="宋体" w:eastAsia="宋体"/>
                <w:sz w:val="16"/>
              </w:rPr>
              <w:t>流动博物馆巡展场次</w:t>
            </w:r>
          </w:p>
        </w:tc>
        <w:tc>
          <w:tcPr>
            <w:tcW w:w="825" w:type="dxa"/>
            <w:tcBorders>
              <w:top w:val="single" w:color="auto" w:sz="10" w:space="0"/>
              <w:left w:val="single" w:color="auto" w:sz="10" w:space="0"/>
              <w:bottom w:val="single" w:color="auto" w:sz="10" w:space="0"/>
              <w:right w:val="single" w:color="auto" w:sz="10" w:space="0"/>
              <w:insideV w:val="single" w:sz="10" w:space="0"/>
            </w:tcBorders>
            <w:vAlign w:val="center"/>
          </w:tcPr>
          <w:p w14:paraId="2036E837">
            <w:pPr>
              <w:jc w:val="center"/>
            </w:pPr>
            <w:r>
              <w:rPr>
                <w:rFonts w:ascii="宋体" w:hAnsi="宋体" w:eastAsia="宋体"/>
                <w:sz w:val="16"/>
              </w:rPr>
              <w:t>&gt;=20场次</w:t>
            </w:r>
          </w:p>
        </w:tc>
        <w:tc>
          <w:tcPr>
            <w:tcW w:w="1309" w:type="dxa"/>
            <w:tcBorders>
              <w:top w:val="single" w:color="auto" w:sz="10" w:space="0"/>
              <w:left w:val="single" w:color="auto" w:sz="10" w:space="0"/>
              <w:bottom w:val="single" w:color="auto" w:sz="10" w:space="0"/>
              <w:right w:val="single" w:color="auto" w:sz="10" w:space="0"/>
              <w:insideV w:val="single" w:sz="10" w:space="0"/>
            </w:tcBorders>
            <w:vAlign w:val="center"/>
          </w:tcPr>
          <w:p w14:paraId="3994A6E2">
            <w:pPr>
              <w:jc w:val="center"/>
            </w:pPr>
            <w:r>
              <w:rPr>
                <w:rFonts w:ascii="宋体" w:hAnsi="宋体" w:eastAsia="宋体"/>
                <w:sz w:val="16"/>
              </w:rPr>
              <w:t>年度工作计划</w:t>
            </w:r>
          </w:p>
        </w:tc>
        <w:tc>
          <w:tcPr>
            <w:tcW w:w="901" w:type="dxa"/>
            <w:tcBorders>
              <w:top w:val="single" w:color="auto" w:sz="10" w:space="0"/>
              <w:left w:val="single" w:color="auto" w:sz="10" w:space="0"/>
              <w:bottom w:val="single" w:color="auto" w:sz="10" w:space="0"/>
              <w:right w:val="single" w:color="auto" w:sz="10" w:space="0"/>
              <w:insideV w:val="single" w:sz="10" w:space="0"/>
            </w:tcBorders>
            <w:vAlign w:val="center"/>
          </w:tcPr>
          <w:p w14:paraId="2B2DAD57">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656E48">
            <w:pPr>
              <w:jc w:val="center"/>
            </w:pPr>
            <w:r>
              <w:rPr>
                <w:rFonts w:ascii="宋体" w:hAnsi="宋体" w:eastAsia="宋体"/>
                <w:sz w:val="16"/>
              </w:rPr>
              <w:t>20场次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C518D6">
            <w:pPr>
              <w:jc w:val="center"/>
            </w:pPr>
            <w:r>
              <w:rPr>
                <w:rFonts w:ascii="宋体" w:hAnsi="宋体" w:eastAsia="宋体"/>
                <w:sz w:val="16"/>
              </w:rPr>
              <w:t>15</w:t>
            </w:r>
          </w:p>
        </w:tc>
      </w:tr>
      <w:tr w14:paraId="7E597D63">
        <w:tblPrEx>
          <w:tblCellMar>
            <w:top w:w="0" w:type="dxa"/>
            <w:left w:w="108" w:type="dxa"/>
            <w:bottom w:w="0" w:type="dxa"/>
            <w:right w:w="108" w:type="dxa"/>
          </w:tblCellMar>
        </w:tblPrEx>
        <w:tc>
          <w:tcPr>
            <w:tcW w:w="942" w:type="dxa"/>
            <w:vMerge w:val="continue"/>
            <w:tcBorders>
              <w:top w:val="single" w:color="auto" w:sz="10" w:space="0"/>
              <w:left w:val="single" w:color="auto" w:sz="10" w:space="0"/>
              <w:bottom w:val="single" w:color="auto" w:sz="10" w:space="0"/>
              <w:right w:val="single" w:color="auto" w:sz="10" w:space="0"/>
              <w:insideV w:val="single" w:sz="10" w:space="0"/>
            </w:tcBorders>
          </w:tcPr>
          <w:p w14:paraId="5AB2CF36"/>
        </w:tc>
        <w:tc>
          <w:tcPr>
            <w:tcW w:w="1093" w:type="dxa"/>
            <w:vMerge w:val="continue"/>
            <w:tcBorders>
              <w:top w:val="single" w:color="auto" w:sz="10" w:space="0"/>
              <w:left w:val="single" w:color="auto" w:sz="10" w:space="0"/>
              <w:bottom w:val="single" w:color="auto" w:sz="10" w:space="0"/>
              <w:right w:val="single" w:color="auto" w:sz="10" w:space="0"/>
              <w:insideV w:val="single" w:sz="10" w:space="0"/>
            </w:tcBorders>
          </w:tcPr>
          <w:p w14:paraId="7A974FFC"/>
        </w:tc>
        <w:tc>
          <w:tcPr>
            <w:tcW w:w="1560" w:type="dxa"/>
            <w:tcBorders>
              <w:top w:val="single" w:color="auto" w:sz="10" w:space="0"/>
              <w:left w:val="single" w:color="auto" w:sz="10" w:space="0"/>
              <w:bottom w:val="single" w:color="auto" w:sz="10" w:space="0"/>
              <w:right w:val="single" w:color="auto" w:sz="10" w:space="0"/>
              <w:insideV w:val="single" w:sz="10" w:space="0"/>
            </w:tcBorders>
            <w:vAlign w:val="center"/>
          </w:tcPr>
          <w:p w14:paraId="48E6CD97">
            <w:pPr>
              <w:jc w:val="center"/>
            </w:pPr>
            <w:r>
              <w:rPr>
                <w:rFonts w:ascii="宋体" w:hAnsi="宋体" w:eastAsia="宋体"/>
                <w:sz w:val="16"/>
              </w:rPr>
              <w:t>参观旅游接待人次</w:t>
            </w:r>
          </w:p>
        </w:tc>
        <w:tc>
          <w:tcPr>
            <w:tcW w:w="825" w:type="dxa"/>
            <w:tcBorders>
              <w:top w:val="single" w:color="auto" w:sz="10" w:space="0"/>
              <w:left w:val="single" w:color="auto" w:sz="10" w:space="0"/>
              <w:bottom w:val="single" w:color="auto" w:sz="10" w:space="0"/>
              <w:right w:val="single" w:color="auto" w:sz="10" w:space="0"/>
              <w:insideV w:val="single" w:sz="10" w:space="0"/>
            </w:tcBorders>
            <w:vAlign w:val="center"/>
          </w:tcPr>
          <w:p w14:paraId="7B608E89">
            <w:pPr>
              <w:jc w:val="center"/>
            </w:pPr>
            <w:r>
              <w:rPr>
                <w:rFonts w:ascii="宋体" w:hAnsi="宋体" w:eastAsia="宋体"/>
                <w:sz w:val="16"/>
              </w:rPr>
              <w:t>&gt;=30000人次</w:t>
            </w:r>
          </w:p>
        </w:tc>
        <w:tc>
          <w:tcPr>
            <w:tcW w:w="1309" w:type="dxa"/>
            <w:tcBorders>
              <w:top w:val="single" w:color="auto" w:sz="10" w:space="0"/>
              <w:left w:val="single" w:color="auto" w:sz="10" w:space="0"/>
              <w:bottom w:val="single" w:color="auto" w:sz="10" w:space="0"/>
              <w:right w:val="single" w:color="auto" w:sz="10" w:space="0"/>
              <w:insideV w:val="single" w:sz="10" w:space="0"/>
            </w:tcBorders>
            <w:vAlign w:val="center"/>
          </w:tcPr>
          <w:p w14:paraId="411B6539">
            <w:pPr>
              <w:jc w:val="center"/>
            </w:pPr>
            <w:r>
              <w:rPr>
                <w:rFonts w:ascii="宋体" w:hAnsi="宋体" w:eastAsia="宋体"/>
                <w:sz w:val="16"/>
              </w:rPr>
              <w:t>年度工作计划</w:t>
            </w:r>
          </w:p>
        </w:tc>
        <w:tc>
          <w:tcPr>
            <w:tcW w:w="901" w:type="dxa"/>
            <w:tcBorders>
              <w:top w:val="single" w:color="auto" w:sz="10" w:space="0"/>
              <w:left w:val="single" w:color="auto" w:sz="10" w:space="0"/>
              <w:bottom w:val="single" w:color="auto" w:sz="10" w:space="0"/>
              <w:right w:val="single" w:color="auto" w:sz="10" w:space="0"/>
              <w:insideV w:val="single" w:sz="10" w:space="0"/>
            </w:tcBorders>
            <w:vAlign w:val="center"/>
          </w:tcPr>
          <w:p w14:paraId="791391A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971FE1">
            <w:pPr>
              <w:jc w:val="center"/>
            </w:pPr>
            <w:r>
              <w:rPr>
                <w:rFonts w:ascii="宋体" w:hAnsi="宋体" w:eastAsia="宋体"/>
                <w:sz w:val="16"/>
              </w:rPr>
              <w:t>30000人次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5A8541">
            <w:pPr>
              <w:jc w:val="center"/>
            </w:pPr>
            <w:r>
              <w:rPr>
                <w:rFonts w:ascii="宋体" w:hAnsi="宋体" w:eastAsia="宋体"/>
                <w:sz w:val="16"/>
              </w:rPr>
              <w:t>15</w:t>
            </w:r>
          </w:p>
        </w:tc>
      </w:tr>
      <w:tr w14:paraId="1F06026A">
        <w:tblPrEx>
          <w:tblCellMar>
            <w:top w:w="0" w:type="dxa"/>
            <w:left w:w="108" w:type="dxa"/>
            <w:bottom w:w="0" w:type="dxa"/>
            <w:right w:w="108" w:type="dxa"/>
          </w:tblCellMar>
        </w:tblPrEx>
        <w:tc>
          <w:tcPr>
            <w:tcW w:w="942" w:type="dxa"/>
            <w:vMerge w:val="continue"/>
            <w:tcBorders>
              <w:top w:val="single" w:color="auto" w:sz="10" w:space="0"/>
              <w:left w:val="single" w:color="auto" w:sz="10" w:space="0"/>
              <w:bottom w:val="single" w:color="auto" w:sz="10" w:space="0"/>
              <w:right w:val="single" w:color="auto" w:sz="10" w:space="0"/>
              <w:insideV w:val="single" w:sz="10" w:space="0"/>
            </w:tcBorders>
          </w:tcPr>
          <w:p w14:paraId="1821589D"/>
        </w:tc>
        <w:tc>
          <w:tcPr>
            <w:tcW w:w="1093" w:type="dxa"/>
            <w:vMerge w:val="continue"/>
            <w:tcBorders>
              <w:top w:val="single" w:color="auto" w:sz="10" w:space="0"/>
              <w:left w:val="single" w:color="auto" w:sz="10" w:space="0"/>
              <w:bottom w:val="single" w:color="auto" w:sz="10" w:space="0"/>
              <w:right w:val="single" w:color="auto" w:sz="10" w:space="0"/>
              <w:insideV w:val="single" w:sz="10" w:space="0"/>
            </w:tcBorders>
          </w:tcPr>
          <w:p w14:paraId="7A3D2C63"/>
        </w:tc>
        <w:tc>
          <w:tcPr>
            <w:tcW w:w="1560" w:type="dxa"/>
            <w:tcBorders>
              <w:top w:val="single" w:color="auto" w:sz="10" w:space="0"/>
              <w:left w:val="single" w:color="auto" w:sz="10" w:space="0"/>
              <w:bottom w:val="single" w:color="auto" w:sz="10" w:space="0"/>
              <w:right w:val="single" w:color="auto" w:sz="10" w:space="0"/>
              <w:insideV w:val="single" w:sz="10" w:space="0"/>
            </w:tcBorders>
            <w:vAlign w:val="center"/>
          </w:tcPr>
          <w:p w14:paraId="589F239F">
            <w:pPr>
              <w:jc w:val="center"/>
            </w:pPr>
            <w:r>
              <w:rPr>
                <w:rFonts w:ascii="宋体" w:hAnsi="宋体" w:eastAsia="宋体"/>
                <w:sz w:val="16"/>
              </w:rPr>
              <w:t>基本陈列个数</w:t>
            </w:r>
          </w:p>
        </w:tc>
        <w:tc>
          <w:tcPr>
            <w:tcW w:w="825" w:type="dxa"/>
            <w:tcBorders>
              <w:top w:val="single" w:color="auto" w:sz="10" w:space="0"/>
              <w:left w:val="single" w:color="auto" w:sz="10" w:space="0"/>
              <w:bottom w:val="single" w:color="auto" w:sz="10" w:space="0"/>
              <w:right w:val="single" w:color="auto" w:sz="10" w:space="0"/>
              <w:insideV w:val="single" w:sz="10" w:space="0"/>
            </w:tcBorders>
            <w:vAlign w:val="center"/>
          </w:tcPr>
          <w:p w14:paraId="4D19A0B5">
            <w:pPr>
              <w:jc w:val="center"/>
            </w:pPr>
            <w:r>
              <w:rPr>
                <w:rFonts w:ascii="宋体" w:hAnsi="宋体" w:eastAsia="宋体"/>
                <w:sz w:val="16"/>
              </w:rPr>
              <w:t>“=4个”</w:t>
            </w:r>
          </w:p>
        </w:tc>
        <w:tc>
          <w:tcPr>
            <w:tcW w:w="1309" w:type="dxa"/>
            <w:tcBorders>
              <w:top w:val="single" w:color="auto" w:sz="10" w:space="0"/>
              <w:left w:val="single" w:color="auto" w:sz="10" w:space="0"/>
              <w:bottom w:val="single" w:color="auto" w:sz="10" w:space="0"/>
              <w:right w:val="single" w:color="auto" w:sz="10" w:space="0"/>
              <w:insideV w:val="single" w:sz="10" w:space="0"/>
            </w:tcBorders>
            <w:vAlign w:val="center"/>
          </w:tcPr>
          <w:p w14:paraId="0B3C6434">
            <w:pPr>
              <w:jc w:val="center"/>
            </w:pPr>
            <w:r>
              <w:rPr>
                <w:rFonts w:ascii="宋体" w:hAnsi="宋体" w:eastAsia="宋体"/>
                <w:sz w:val="16"/>
              </w:rPr>
              <w:t>年度工作计划</w:t>
            </w:r>
          </w:p>
        </w:tc>
        <w:tc>
          <w:tcPr>
            <w:tcW w:w="901" w:type="dxa"/>
            <w:tcBorders>
              <w:top w:val="single" w:color="auto" w:sz="10" w:space="0"/>
              <w:left w:val="single" w:color="auto" w:sz="10" w:space="0"/>
              <w:bottom w:val="single" w:color="auto" w:sz="10" w:space="0"/>
              <w:right w:val="single" w:color="auto" w:sz="10" w:space="0"/>
              <w:insideV w:val="single" w:sz="10" w:space="0"/>
            </w:tcBorders>
            <w:vAlign w:val="center"/>
          </w:tcPr>
          <w:p w14:paraId="075C6A0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A07911">
            <w:pPr>
              <w:jc w:val="center"/>
            </w:pPr>
            <w:r>
              <w:rPr>
                <w:rFonts w:ascii="宋体" w:hAnsi="宋体" w:eastAsia="宋体"/>
                <w:sz w:val="16"/>
              </w:rPr>
              <w:t>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A627F2">
            <w:pPr>
              <w:jc w:val="center"/>
            </w:pPr>
            <w:r>
              <w:rPr>
                <w:rFonts w:ascii="宋体" w:hAnsi="宋体" w:eastAsia="宋体"/>
                <w:sz w:val="16"/>
              </w:rPr>
              <w:t>15</w:t>
            </w:r>
          </w:p>
        </w:tc>
      </w:tr>
      <w:tr w14:paraId="117C6CDE">
        <w:tblPrEx>
          <w:tblCellMar>
            <w:top w:w="0" w:type="dxa"/>
            <w:left w:w="108" w:type="dxa"/>
            <w:bottom w:w="0" w:type="dxa"/>
            <w:right w:w="108" w:type="dxa"/>
          </w:tblCellMar>
        </w:tblPrEx>
        <w:tc>
          <w:tcPr>
            <w:tcW w:w="942" w:type="dxa"/>
            <w:vMerge w:val="continue"/>
            <w:tcBorders>
              <w:top w:val="single" w:color="auto" w:sz="10" w:space="0"/>
              <w:left w:val="single" w:color="auto" w:sz="10" w:space="0"/>
              <w:bottom w:val="single" w:color="auto" w:sz="10" w:space="0"/>
              <w:right w:val="single" w:color="auto" w:sz="10" w:space="0"/>
              <w:insideV w:val="single" w:sz="10" w:space="0"/>
            </w:tcBorders>
          </w:tcPr>
          <w:p w14:paraId="3FF28041"/>
        </w:tc>
        <w:tc>
          <w:tcPr>
            <w:tcW w:w="1093" w:type="dxa"/>
            <w:tcBorders>
              <w:top w:val="single" w:color="auto" w:sz="10" w:space="0"/>
              <w:left w:val="single" w:color="auto" w:sz="10" w:space="0"/>
              <w:bottom w:val="single" w:color="auto" w:sz="10" w:space="0"/>
              <w:right w:val="single" w:color="auto" w:sz="10" w:space="0"/>
              <w:insideV w:val="single" w:sz="10" w:space="0"/>
            </w:tcBorders>
            <w:vAlign w:val="center"/>
          </w:tcPr>
          <w:p w14:paraId="2EB919CD">
            <w:pPr>
              <w:jc w:val="center"/>
            </w:pPr>
            <w:r>
              <w:rPr>
                <w:rFonts w:ascii="宋体" w:hAnsi="宋体" w:eastAsia="宋体"/>
                <w:sz w:val="16"/>
              </w:rPr>
              <w:t>质量指标</w:t>
            </w:r>
          </w:p>
        </w:tc>
        <w:tc>
          <w:tcPr>
            <w:tcW w:w="1560" w:type="dxa"/>
            <w:tcBorders>
              <w:top w:val="single" w:color="auto" w:sz="10" w:space="0"/>
              <w:left w:val="single" w:color="auto" w:sz="10" w:space="0"/>
              <w:bottom w:val="single" w:color="auto" w:sz="10" w:space="0"/>
              <w:right w:val="single" w:color="auto" w:sz="10" w:space="0"/>
              <w:insideV w:val="single" w:sz="10" w:space="0"/>
            </w:tcBorders>
            <w:vAlign w:val="center"/>
          </w:tcPr>
          <w:p w14:paraId="3DD70F0B">
            <w:pPr>
              <w:jc w:val="center"/>
            </w:pPr>
            <w:r>
              <w:rPr>
                <w:rFonts w:ascii="宋体" w:hAnsi="宋体" w:eastAsia="宋体"/>
                <w:sz w:val="16"/>
              </w:rPr>
              <w:t>文物安全事故发生率</w:t>
            </w:r>
          </w:p>
        </w:tc>
        <w:tc>
          <w:tcPr>
            <w:tcW w:w="825" w:type="dxa"/>
            <w:tcBorders>
              <w:top w:val="single" w:color="auto" w:sz="10" w:space="0"/>
              <w:left w:val="single" w:color="auto" w:sz="10" w:space="0"/>
              <w:bottom w:val="single" w:color="auto" w:sz="10" w:space="0"/>
              <w:right w:val="single" w:color="auto" w:sz="10" w:space="0"/>
              <w:insideV w:val="single" w:sz="10" w:space="0"/>
            </w:tcBorders>
            <w:vAlign w:val="center"/>
          </w:tcPr>
          <w:p w14:paraId="7CD6829E">
            <w:pPr>
              <w:jc w:val="center"/>
            </w:pPr>
            <w:r>
              <w:rPr>
                <w:rFonts w:ascii="宋体" w:hAnsi="宋体" w:eastAsia="宋体"/>
                <w:sz w:val="16"/>
              </w:rPr>
              <w:t>&lt;=0.05%</w:t>
            </w:r>
          </w:p>
        </w:tc>
        <w:tc>
          <w:tcPr>
            <w:tcW w:w="1309" w:type="dxa"/>
            <w:tcBorders>
              <w:top w:val="single" w:color="auto" w:sz="10" w:space="0"/>
              <w:left w:val="single" w:color="auto" w:sz="10" w:space="0"/>
              <w:bottom w:val="single" w:color="auto" w:sz="10" w:space="0"/>
              <w:right w:val="single" w:color="auto" w:sz="10" w:space="0"/>
              <w:insideV w:val="single" w:sz="10" w:space="0"/>
            </w:tcBorders>
            <w:vAlign w:val="center"/>
          </w:tcPr>
          <w:p w14:paraId="14CD7D68">
            <w:pPr>
              <w:jc w:val="center"/>
            </w:pPr>
            <w:r>
              <w:rPr>
                <w:rFonts w:ascii="宋体" w:hAnsi="宋体" w:eastAsia="宋体"/>
                <w:sz w:val="16"/>
              </w:rPr>
              <w:t>年度工作计划</w:t>
            </w:r>
          </w:p>
        </w:tc>
        <w:tc>
          <w:tcPr>
            <w:tcW w:w="901" w:type="dxa"/>
            <w:tcBorders>
              <w:top w:val="single" w:color="auto" w:sz="10" w:space="0"/>
              <w:left w:val="single" w:color="auto" w:sz="10" w:space="0"/>
              <w:bottom w:val="single" w:color="auto" w:sz="10" w:space="0"/>
              <w:right w:val="single" w:color="auto" w:sz="10" w:space="0"/>
              <w:insideV w:val="single" w:sz="10" w:space="0"/>
            </w:tcBorders>
            <w:vAlign w:val="center"/>
          </w:tcPr>
          <w:p w14:paraId="6976771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35E400">
            <w:pPr>
              <w:jc w:val="center"/>
            </w:pPr>
            <w:r>
              <w:rPr>
                <w:rFonts w:ascii="宋体" w:hAnsi="宋体" w:eastAsia="宋体"/>
                <w:sz w:val="16"/>
              </w:rPr>
              <w:t>0.05%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67DF11">
            <w:pPr>
              <w:jc w:val="center"/>
            </w:pPr>
            <w:r>
              <w:rPr>
                <w:rFonts w:ascii="宋体" w:hAnsi="宋体" w:eastAsia="宋体"/>
                <w:sz w:val="16"/>
              </w:rPr>
              <w:t>15</w:t>
            </w:r>
          </w:p>
        </w:tc>
      </w:tr>
    </w:tbl>
    <w:p w14:paraId="1D1C8838">
      <w:r>
        <w:br w:type="page"/>
      </w:r>
    </w:p>
    <w:p w14:paraId="3B2DA96E">
      <w:pPr>
        <w:spacing w:line="640" w:lineRule="exact"/>
        <w:ind w:firstLine="640"/>
        <w:jc w:val="both"/>
        <w:outlineLvl w:val="2"/>
      </w:pPr>
      <w:r>
        <w:rPr>
          <w:rFonts w:ascii="黑体" w:hAnsi="黑体" w:eastAsia="黑体"/>
          <w:sz w:val="32"/>
        </w:rPr>
        <w:t>十二、其他需说明的事项</w:t>
      </w:r>
    </w:p>
    <w:p w14:paraId="58E74B36">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2FB9410D">
      <w:r>
        <w:br w:type="page"/>
      </w:r>
    </w:p>
    <w:p w14:paraId="036369F2">
      <w:pPr>
        <w:spacing w:line="240" w:lineRule="auto"/>
        <w:jc w:val="center"/>
        <w:outlineLvl w:val="1"/>
      </w:pPr>
      <w:r>
        <w:rPr>
          <w:rFonts w:ascii="黑体" w:hAnsi="黑体" w:eastAsia="黑体"/>
          <w:sz w:val="32"/>
        </w:rPr>
        <w:t>第三部分 专业名词解释</w:t>
      </w:r>
    </w:p>
    <w:p w14:paraId="128D0FB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E24D3B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E05B80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923901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8A66A5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A7B5D5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563FC2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2E7592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62970E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4CEE7F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ECD272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BE0AD0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963F03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BEF15E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63FE92D">
      <w:r>
        <w:br w:type="page"/>
      </w:r>
    </w:p>
    <w:p w14:paraId="7478C50E">
      <w:pPr>
        <w:spacing w:line="240" w:lineRule="auto"/>
        <w:jc w:val="center"/>
        <w:outlineLvl w:val="1"/>
      </w:pPr>
      <w:r>
        <w:rPr>
          <w:rFonts w:ascii="黑体" w:hAnsi="黑体" w:eastAsia="黑体"/>
          <w:sz w:val="32"/>
        </w:rPr>
        <w:t>第四部分 部门决算报表（见附表）</w:t>
      </w:r>
    </w:p>
    <w:p w14:paraId="21A0CCE3">
      <w:pPr>
        <w:spacing w:line="240" w:lineRule="auto"/>
        <w:ind w:firstLine="640"/>
        <w:jc w:val="both"/>
      </w:pPr>
      <w:r>
        <w:rPr>
          <w:rFonts w:ascii="仿宋_GB2312" w:hAnsi="仿宋_GB2312" w:eastAsia="仿宋_GB2312"/>
          <w:b w:val="0"/>
          <w:sz w:val="32"/>
        </w:rPr>
        <w:t>一、《收入支出决算总表》</w:t>
      </w:r>
    </w:p>
    <w:p w14:paraId="43BD62AD">
      <w:pPr>
        <w:spacing w:line="240" w:lineRule="auto"/>
        <w:ind w:firstLine="640"/>
        <w:jc w:val="both"/>
      </w:pPr>
      <w:r>
        <w:rPr>
          <w:rFonts w:ascii="仿宋_GB2312" w:hAnsi="仿宋_GB2312" w:eastAsia="仿宋_GB2312"/>
          <w:b w:val="0"/>
          <w:sz w:val="32"/>
        </w:rPr>
        <w:t>二、《收入决算表》</w:t>
      </w:r>
    </w:p>
    <w:p w14:paraId="09B38A4A">
      <w:pPr>
        <w:spacing w:line="240" w:lineRule="auto"/>
        <w:ind w:firstLine="640"/>
        <w:jc w:val="both"/>
      </w:pPr>
      <w:r>
        <w:rPr>
          <w:rFonts w:ascii="仿宋_GB2312" w:hAnsi="仿宋_GB2312" w:eastAsia="仿宋_GB2312"/>
          <w:b w:val="0"/>
          <w:sz w:val="32"/>
        </w:rPr>
        <w:t>三、《支出决算表》</w:t>
      </w:r>
    </w:p>
    <w:p w14:paraId="54D7C4B3">
      <w:pPr>
        <w:spacing w:line="240" w:lineRule="auto"/>
        <w:ind w:firstLine="640"/>
        <w:jc w:val="both"/>
      </w:pPr>
      <w:r>
        <w:rPr>
          <w:rFonts w:ascii="仿宋_GB2312" w:hAnsi="仿宋_GB2312" w:eastAsia="仿宋_GB2312"/>
          <w:b w:val="0"/>
          <w:sz w:val="32"/>
        </w:rPr>
        <w:t>四、《财政拨款收入支出决算总表》</w:t>
      </w:r>
    </w:p>
    <w:p w14:paraId="7239E075">
      <w:pPr>
        <w:spacing w:line="240" w:lineRule="auto"/>
        <w:ind w:firstLine="640"/>
        <w:jc w:val="both"/>
      </w:pPr>
      <w:r>
        <w:rPr>
          <w:rFonts w:ascii="仿宋_GB2312" w:hAnsi="仿宋_GB2312" w:eastAsia="仿宋_GB2312"/>
          <w:b w:val="0"/>
          <w:sz w:val="32"/>
        </w:rPr>
        <w:t>五、《一般公共预算财政拨款支出决算表》</w:t>
      </w:r>
    </w:p>
    <w:p w14:paraId="398F86FD">
      <w:pPr>
        <w:spacing w:line="240" w:lineRule="auto"/>
        <w:ind w:firstLine="640"/>
        <w:jc w:val="both"/>
      </w:pPr>
      <w:r>
        <w:rPr>
          <w:rFonts w:ascii="仿宋_GB2312" w:hAnsi="仿宋_GB2312" w:eastAsia="仿宋_GB2312"/>
          <w:b w:val="0"/>
          <w:sz w:val="32"/>
        </w:rPr>
        <w:t>六、《一般公共预算财政拨款基本支出决算表》</w:t>
      </w:r>
    </w:p>
    <w:p w14:paraId="3C63F8C5">
      <w:pPr>
        <w:spacing w:line="240" w:lineRule="auto"/>
        <w:ind w:firstLine="640"/>
        <w:jc w:val="both"/>
      </w:pPr>
      <w:r>
        <w:rPr>
          <w:rFonts w:ascii="仿宋_GB2312" w:hAnsi="仿宋_GB2312" w:eastAsia="仿宋_GB2312"/>
          <w:b w:val="0"/>
          <w:sz w:val="32"/>
        </w:rPr>
        <w:t>七、《政府性基金预算财政拨款收入支出决算表》</w:t>
      </w:r>
    </w:p>
    <w:p w14:paraId="66FF1631">
      <w:pPr>
        <w:spacing w:line="240" w:lineRule="auto"/>
        <w:ind w:firstLine="640"/>
        <w:jc w:val="both"/>
      </w:pPr>
      <w:r>
        <w:rPr>
          <w:rFonts w:ascii="仿宋_GB2312" w:hAnsi="仿宋_GB2312" w:eastAsia="仿宋_GB2312"/>
          <w:b w:val="0"/>
          <w:sz w:val="32"/>
        </w:rPr>
        <w:t>八、《国有资本经营预算财政拨款收入支出决算表》</w:t>
      </w:r>
    </w:p>
    <w:p w14:paraId="1F70ECC6">
      <w:pPr>
        <w:spacing w:line="240" w:lineRule="auto"/>
        <w:ind w:firstLine="640"/>
        <w:jc w:val="both"/>
      </w:pPr>
      <w:r>
        <w:rPr>
          <w:rFonts w:ascii="仿宋_GB2312" w:hAnsi="仿宋_GB2312" w:eastAsia="仿宋_GB2312"/>
          <w:b w:val="0"/>
          <w:sz w:val="32"/>
        </w:rPr>
        <w:t>九、《财政拨款“三公”经费支出决算表》</w:t>
      </w:r>
    </w:p>
    <w:p w14:paraId="3FFE952E">
      <w:pPr>
        <w:spacing w:line="240" w:lineRule="auto"/>
        <w:ind w:firstLine="640"/>
        <w:jc w:val="both"/>
      </w:pPr>
    </w:p>
    <w:p w14:paraId="67514AB7">
      <w:pPr>
        <w:spacing w:line="240" w:lineRule="auto"/>
        <w:ind w:firstLine="640"/>
        <w:jc w:val="both"/>
      </w:pPr>
    </w:p>
    <w:p w14:paraId="50FB12D1">
      <w:pPr>
        <w:spacing w:line="240" w:lineRule="auto"/>
        <w:ind w:firstLine="640"/>
        <w:jc w:val="both"/>
      </w:pPr>
    </w:p>
    <w:p w14:paraId="57E57166">
      <w:pPr>
        <w:spacing w:line="240" w:lineRule="auto"/>
        <w:ind w:firstLine="640"/>
        <w:jc w:val="both"/>
      </w:pPr>
    </w:p>
    <w:p w14:paraId="1B9C98C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1">
    <w:panose1 w:val="02000000000000000000"/>
    <w:charset w:val="86"/>
    <w:family w:val="auto"/>
    <w:pitch w:val="default"/>
    <w:sig w:usb0="A00002BF" w:usb1="38CF7CFA" w:usb2="00082016" w:usb3="00000000" w:csb0="00040001" w:csb1="00000000"/>
  </w:font>
  <w:font w:name="WPSEMBED2">
    <w:panose1 w:val="02010609030101010101"/>
    <w:charset w:val="86"/>
    <w:family w:val="auto"/>
    <w:pitch w:val="default"/>
    <w:sig w:usb0="00000001" w:usb1="080E0000" w:usb2="00000000" w:usb3="00000000" w:csb0="00040000" w:csb1="00000000"/>
  </w:font>
  <w:font w:name="WPSEMBED3">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CD91430"/>
    <w:rsid w:val="4F3F074E"/>
    <w:rsid w:val="50DB5F45"/>
    <w:rsid w:val="52F92565"/>
    <w:rsid w:val="543D17CB"/>
    <w:rsid w:val="55DA564E"/>
    <w:rsid w:val="56E07045"/>
    <w:rsid w:val="583059FA"/>
    <w:rsid w:val="587E6212"/>
    <w:rsid w:val="5A2274B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9c70d0e5-a446-4c15-8ee0-714da7d53ba1</errorID>
      <errorWord>2月31日</errorWord>
      <group>L1_Sensitive</group>
      <groupName>敏感问题</groupName>
      <ability>L2_UserSensitive</ability>
      <abilityName>自定义敏感词</abilityName>
      <candidateList/>
      <explain>来自自定义敏感词库。</explain>
      <paraID>648E093C</paraID>
      <start>8</start>
      <end>13</end>
      <status>ignored</status>
      <modifiedWord/>
      <trackRevisions>false</trackRevisions>
    </reviewItem>
    <reviewItem>
      <errorID>2392a3cc-500f-4089-b3c2-62c4910d302e</errorID>
      <errorWord>指示批示精神</errorWord>
      <group>L1_Sensitive</group>
      <groupName>敏感问题</groupName>
      <ability>L2_UserSensitive</ability>
      <abilityName>自定义敏感词</abilityName>
      <candidateList/>
      <explain>来自自定义敏感词库。</explain>
      <paraID>5E5A7D46</paraID>
      <start>66</start>
      <end>72</end>
      <status>ignored</status>
      <modifiedWord/>
      <trackRevisions>false</trackRevisions>
    </reviewItem>
    <reviewItem>
      <errorID>81cffc83-a351-4e72-8c57-25e6ab433d06</errorID>
      <errorWord>指示批示精神</errorWord>
      <group>L1_Sensitive</group>
      <groupName>敏感问题</groupName>
      <ability>L2_UserSensitive</ability>
      <abilityName>自定义敏感词</abilityName>
      <candidateList/>
      <explain>来自自定义敏感词库。</explain>
      <paraID>5592B5E9</paraID>
      <start>69</start>
      <end>75</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f68ed5-b9eb-4ed2-86a7-33b6a4c26f67}">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5705</Words>
  <Characters>6380</Characters>
  <Lines>0</Lines>
  <Paragraphs>0</Paragraphs>
  <TotalTime>18</TotalTime>
  <ScaleCrop>false</ScaleCrop>
  <LinksUpToDate>false</LinksUpToDate>
  <CharactersWithSpaces>6390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2025-10-31T09:38:43Z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