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中共托里县委员会网络安全和信息化委员会办公室2024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AE50C37">
      <w:r>
        <w:br w:type="page"/>
      </w:r>
    </w:p>
    <w:p w14:paraId="69B1339A">
      <w:pPr>
        <w:spacing w:line="640" w:lineRule="exact"/>
        <w:jc w:val="center"/>
        <w:outlineLvl w:val="1"/>
      </w:pPr>
      <w:r>
        <w:rPr>
          <w:rFonts w:ascii="黑体" w:hAnsi="黑体" w:eastAsia="黑体"/>
          <w:sz w:val="32"/>
        </w:rPr>
        <w:t>第一部分 单位概况</w:t>
      </w:r>
    </w:p>
    <w:p w14:paraId="52BFC0EF">
      <w:pPr>
        <w:spacing w:line="640" w:lineRule="exact"/>
        <w:ind w:firstLine="640"/>
        <w:jc w:val="both"/>
        <w:outlineLvl w:val="2"/>
      </w:pPr>
      <w:r>
        <w:rPr>
          <w:rFonts w:ascii="黑体" w:hAnsi="黑体" w:eastAsia="黑体"/>
          <w:sz w:val="32"/>
        </w:rPr>
        <w:t>一、主要职能</w:t>
      </w:r>
    </w:p>
    <w:p w14:paraId="73A702E6">
      <w:pPr>
        <w:spacing w:line="580" w:lineRule="exact"/>
        <w:ind w:firstLine="640"/>
        <w:jc w:val="both"/>
      </w:pPr>
      <w:r>
        <w:rPr>
          <w:rFonts w:ascii="仿宋_GB2312" w:hAnsi="仿宋_GB2312" w:eastAsia="仿宋_GB2312"/>
          <w:sz w:val="32"/>
        </w:rPr>
        <w:t>（1）负责互联网信息内容管理，统筹协调组织全县互联网宣传管理和舆论引导工作，维护互联网意识形态安全；负责互联网信息内容监督管理执法，组织开展网络舆论生态治理，处置和封堵网上有害信息，依照相关法律和规定查处有关违法违规行为和网站（平台）。</w:t>
      </w:r>
    </w:p>
    <w:p w14:paraId="76C5D48F">
      <w:pPr>
        <w:spacing w:line="580" w:lineRule="exact"/>
        <w:ind w:firstLine="640"/>
        <w:jc w:val="both"/>
      </w:pPr>
      <w:r>
        <w:rPr>
          <w:rFonts w:ascii="仿宋_GB2312" w:hAnsi="仿宋_GB2312" w:eastAsia="仿宋_GB2312"/>
          <w:sz w:val="32"/>
        </w:rPr>
        <w:t>（2）推动网络阵地建设，统筹规划重点新闻网站建设，指导协调网络游戏、网络视听、网络出版等相关业务，推动移动互联网发展，推动传统媒体和新兴媒体融合发展。</w:t>
      </w:r>
    </w:p>
    <w:p w14:paraId="21CCB234">
      <w:pPr>
        <w:spacing w:line="580" w:lineRule="exact"/>
        <w:ind w:firstLine="640"/>
        <w:jc w:val="both"/>
      </w:pPr>
      <w:r>
        <w:rPr>
          <w:rFonts w:ascii="仿宋_GB2312" w:hAnsi="仿宋_GB2312" w:eastAsia="仿宋_GB2312"/>
          <w:sz w:val="32"/>
        </w:rPr>
        <w:t>（3）督促落实涉及政治、经济、社会等各个领域网络安全和信息化重大事项；负责协调处理网络安全和信息化重大突发事件有关应急工作。</w:t>
      </w:r>
    </w:p>
    <w:p w14:paraId="27AB9733">
      <w:pPr>
        <w:spacing w:line="580" w:lineRule="exact"/>
        <w:ind w:firstLine="640"/>
        <w:jc w:val="both"/>
      </w:pPr>
      <w:r>
        <w:rPr>
          <w:rFonts w:ascii="仿宋_GB2312" w:hAnsi="仿宋_GB2312" w:eastAsia="仿宋_GB2312"/>
          <w:sz w:val="32"/>
        </w:rPr>
        <w:t>（4）组织协调开展网络安全和信息化交流合作，负责指导协调网络舆情信息工作，组织开展网络舆情信息收集、分析、研判和处置，跟踪了解和掌握网络舆情动态；依法规范全县互联网舆情服务市场。</w:t>
      </w:r>
    </w:p>
    <w:p w14:paraId="2ACAEF2C">
      <w:pPr>
        <w:spacing w:line="580" w:lineRule="exact"/>
        <w:ind w:firstLine="640"/>
        <w:jc w:val="both"/>
      </w:pPr>
      <w:r>
        <w:rPr>
          <w:rFonts w:ascii="仿宋_GB2312" w:hAnsi="仿宋_GB2312" w:eastAsia="仿宋_GB2312"/>
          <w:sz w:val="32"/>
        </w:rPr>
        <w:t>（5）推动网络社会工作和网络文化、网络文明建设；</w:t>
      </w:r>
      <w:r>
        <w:rPr>
          <w:rFonts w:hint="eastAsia" w:ascii="仿宋_GB2312" w:hAnsi="仿宋_GB2312" w:eastAsia="仿宋_GB2312"/>
          <w:sz w:val="32"/>
          <w:lang w:eastAsia="zh-CN"/>
        </w:rPr>
        <w:t>联系、发展</w:t>
      </w:r>
      <w:r>
        <w:rPr>
          <w:rFonts w:ascii="仿宋_GB2312" w:hAnsi="仿宋_GB2312" w:eastAsia="仿宋_GB2312"/>
          <w:sz w:val="32"/>
        </w:rPr>
        <w:t>和服务互联网相关社会组织，指导互联网行业自律，推进网站党建工作。指导托里县网络安全和信息化工作。</w:t>
      </w:r>
    </w:p>
    <w:p w14:paraId="1A527157">
      <w:pPr>
        <w:spacing w:line="640" w:lineRule="exact"/>
        <w:ind w:firstLine="640"/>
        <w:jc w:val="both"/>
        <w:outlineLvl w:val="2"/>
      </w:pPr>
      <w:r>
        <w:rPr>
          <w:rFonts w:ascii="黑体" w:hAnsi="黑体" w:eastAsia="黑体"/>
          <w:sz w:val="32"/>
        </w:rPr>
        <w:t>二、机构设置及人员情况</w:t>
      </w:r>
    </w:p>
    <w:p w14:paraId="76987ACB">
      <w:pPr>
        <w:spacing w:line="580" w:lineRule="exact"/>
        <w:ind w:firstLine="640"/>
        <w:jc w:val="both"/>
      </w:pPr>
      <w:r>
        <w:rPr>
          <w:rFonts w:ascii="仿宋_GB2312" w:hAnsi="仿宋_GB2312" w:eastAsia="仿宋_GB2312"/>
          <w:sz w:val="32"/>
        </w:rPr>
        <w:t>中共托里县委员会网络安全和信息化委员会办公室2024年度，实有人数14人，其中：在职人员14人，减少1人；离休人员0人，增加0人；退休人员0人,增加0人。</w:t>
      </w:r>
    </w:p>
    <w:p w14:paraId="5E6A0151">
      <w:pPr>
        <w:spacing w:line="580" w:lineRule="exact"/>
        <w:ind w:firstLine="640"/>
        <w:jc w:val="both"/>
      </w:pPr>
      <w:r>
        <w:rPr>
          <w:rFonts w:ascii="仿宋_GB2312" w:hAnsi="仿宋_GB2312" w:eastAsia="仿宋_GB2312"/>
          <w:sz w:val="32"/>
        </w:rPr>
        <w:t>中共托里县委员会网络安全和信息化委员会办公室无下属预算单位，下设4个科室，分别是：综合科、互联网党建科、舆情科、网评网举科。</w:t>
      </w:r>
    </w:p>
    <w:p w14:paraId="587C761A">
      <w:r>
        <w:br w:type="page"/>
      </w:r>
    </w:p>
    <w:p w14:paraId="699C3B9F">
      <w:pPr>
        <w:spacing w:line="240" w:lineRule="auto"/>
        <w:jc w:val="center"/>
        <w:outlineLvl w:val="1"/>
      </w:pPr>
      <w:r>
        <w:rPr>
          <w:rFonts w:ascii="黑体" w:hAnsi="黑体" w:eastAsia="黑体"/>
          <w:sz w:val="32"/>
        </w:rPr>
        <w:t>第二部分 部门决算情况说明</w:t>
      </w:r>
    </w:p>
    <w:p w14:paraId="4F357DD0">
      <w:pPr>
        <w:spacing w:line="640" w:lineRule="exact"/>
        <w:ind w:firstLine="640"/>
        <w:jc w:val="both"/>
        <w:outlineLvl w:val="2"/>
      </w:pPr>
      <w:r>
        <w:rPr>
          <w:rFonts w:ascii="黑体" w:hAnsi="黑体" w:eastAsia="黑体"/>
          <w:sz w:val="32"/>
        </w:rPr>
        <w:t>一、收入支出决算总体情况说明</w:t>
      </w:r>
    </w:p>
    <w:p w14:paraId="4EEE1D98">
      <w:pPr>
        <w:spacing w:line="580" w:lineRule="exact"/>
        <w:ind w:firstLine="640"/>
        <w:jc w:val="both"/>
      </w:pPr>
      <w:r>
        <w:rPr>
          <w:rFonts w:ascii="仿宋_GB2312" w:hAnsi="仿宋_GB2312" w:eastAsia="仿宋_GB2312"/>
          <w:b/>
          <w:sz w:val="32"/>
        </w:rPr>
        <w:t>2024年度收入总计242.80万元，</w:t>
      </w:r>
      <w:r>
        <w:rPr>
          <w:rFonts w:ascii="仿宋_GB2312" w:hAnsi="仿宋_GB2312" w:eastAsia="仿宋_GB2312"/>
          <w:b w:val="0"/>
          <w:sz w:val="32"/>
        </w:rPr>
        <w:t>其中：本年收入合计242.80万元，使用非财政拨款结余（含专用结余）0.00万元，年初结转和结余0.00万元。</w:t>
      </w:r>
    </w:p>
    <w:p w14:paraId="1FD1111F">
      <w:pPr>
        <w:spacing w:line="580" w:lineRule="exact"/>
        <w:ind w:firstLine="640"/>
        <w:jc w:val="both"/>
      </w:pPr>
      <w:r>
        <w:rPr>
          <w:rFonts w:ascii="仿宋_GB2312" w:hAnsi="仿宋_GB2312" w:eastAsia="仿宋_GB2312"/>
          <w:b/>
          <w:sz w:val="32"/>
        </w:rPr>
        <w:t>2024年度支出总计242.80万元，</w:t>
      </w:r>
      <w:r>
        <w:rPr>
          <w:rFonts w:ascii="仿宋_GB2312" w:hAnsi="仿宋_GB2312" w:eastAsia="仿宋_GB2312"/>
          <w:b w:val="0"/>
          <w:sz w:val="32"/>
        </w:rPr>
        <w:t>其中：本年支出合计242.80万元，结余分配0.00万元，年末结转和结余0.00万元。</w:t>
      </w:r>
    </w:p>
    <w:p w14:paraId="73949D41">
      <w:pPr>
        <w:spacing w:line="580" w:lineRule="exact"/>
        <w:ind w:firstLine="640"/>
        <w:jc w:val="both"/>
      </w:pPr>
      <w:r>
        <w:rPr>
          <w:rFonts w:ascii="仿宋_GB2312" w:hAnsi="仿宋_GB2312" w:eastAsia="仿宋_GB2312"/>
          <w:b w:val="0"/>
          <w:sz w:val="32"/>
        </w:rPr>
        <w:t>收入支出总体与上年相比，增加27.73万元，增长12.89%，主要原因是：</w:t>
      </w:r>
      <w:r>
        <w:rPr>
          <w:rFonts w:hint="eastAsia" w:ascii="仿宋_GB2312" w:hAnsi="仿宋_GB2312" w:eastAsia="仿宋_GB2312"/>
          <w:b w:val="0"/>
          <w:sz w:val="32"/>
          <w:lang w:val="en-US" w:eastAsia="zh-CN"/>
        </w:rPr>
        <w:t>本年在职人员工资调增，工资、住房公积金等相关经费增加；增加</w:t>
      </w:r>
      <w:r>
        <w:rPr>
          <w:rFonts w:ascii="仿宋_GB2312" w:hAnsi="仿宋_GB2312" w:eastAsia="仿宋_GB2312"/>
          <w:b w:val="0"/>
          <w:sz w:val="32"/>
        </w:rPr>
        <w:t>2020年度舆情秘书软件服务费。</w:t>
      </w:r>
    </w:p>
    <w:p w14:paraId="0C327E7D">
      <w:pPr>
        <w:spacing w:line="640" w:lineRule="exact"/>
        <w:ind w:firstLine="640"/>
        <w:jc w:val="both"/>
        <w:outlineLvl w:val="2"/>
      </w:pPr>
      <w:r>
        <w:rPr>
          <w:rFonts w:ascii="黑体" w:hAnsi="黑体" w:eastAsia="黑体"/>
          <w:sz w:val="32"/>
        </w:rPr>
        <w:t>二、收入决算情况说明</w:t>
      </w:r>
    </w:p>
    <w:p w14:paraId="56AAF0D8">
      <w:pPr>
        <w:spacing w:line="580" w:lineRule="exact"/>
        <w:ind w:firstLine="640"/>
        <w:jc w:val="both"/>
      </w:pPr>
      <w:r>
        <w:rPr>
          <w:rFonts w:ascii="仿宋_GB2312" w:hAnsi="仿宋_GB2312" w:eastAsia="仿宋_GB2312"/>
          <w:b/>
          <w:sz w:val="32"/>
        </w:rPr>
        <w:t>本年收入242.80万元，</w:t>
      </w:r>
      <w:r>
        <w:rPr>
          <w:rFonts w:ascii="仿宋_GB2312" w:hAnsi="仿宋_GB2312" w:eastAsia="仿宋_GB2312"/>
          <w:b w:val="0"/>
          <w:sz w:val="32"/>
        </w:rPr>
        <w:t>其中：财政拨款收入242.80万元，占100.00%；上级补助收入0.00万元，占0.00%；事业收入0.00万元，占0.00%；经营收入0.00万元，占0.00%；附属单位上缴收入0.00万元，占0.00%；其他收入0.00万元，占0.00%。</w:t>
      </w:r>
    </w:p>
    <w:p w14:paraId="54C197A6">
      <w:pPr>
        <w:spacing w:line="640" w:lineRule="exact"/>
        <w:ind w:firstLine="640"/>
        <w:jc w:val="both"/>
        <w:outlineLvl w:val="2"/>
      </w:pPr>
      <w:r>
        <w:rPr>
          <w:rFonts w:ascii="黑体" w:hAnsi="黑体" w:eastAsia="黑体"/>
          <w:sz w:val="32"/>
        </w:rPr>
        <w:t>三、支出决算情况说明</w:t>
      </w:r>
    </w:p>
    <w:p w14:paraId="77FA45B5">
      <w:pPr>
        <w:spacing w:line="580" w:lineRule="exact"/>
        <w:ind w:firstLine="640"/>
        <w:jc w:val="both"/>
      </w:pPr>
      <w:r>
        <w:rPr>
          <w:rFonts w:ascii="仿宋_GB2312" w:hAnsi="仿宋_GB2312" w:eastAsia="仿宋_GB2312"/>
          <w:b/>
          <w:sz w:val="32"/>
        </w:rPr>
        <w:t>本年支出242.80万元，</w:t>
      </w:r>
      <w:r>
        <w:rPr>
          <w:rFonts w:ascii="仿宋_GB2312" w:hAnsi="仿宋_GB2312" w:eastAsia="仿宋_GB2312"/>
          <w:b w:val="0"/>
          <w:sz w:val="32"/>
        </w:rPr>
        <w:t>其中：基本支出242.80万元，占100.00%；项目支出0.00万元，占0.00%；上缴上级支出0.00万元，占0.00%；经营支出0.00万元，占0.00%；对附属单位补助支出0.00万元，占0.00%。</w:t>
      </w:r>
    </w:p>
    <w:p w14:paraId="2E3B0901">
      <w:pPr>
        <w:spacing w:line="640" w:lineRule="exact"/>
        <w:ind w:firstLine="640"/>
        <w:jc w:val="both"/>
        <w:outlineLvl w:val="2"/>
      </w:pPr>
      <w:r>
        <w:rPr>
          <w:rFonts w:ascii="黑体" w:hAnsi="黑体" w:eastAsia="黑体"/>
          <w:sz w:val="32"/>
        </w:rPr>
        <w:t>四、财政拨款收入支出决算总体情况说明</w:t>
      </w:r>
    </w:p>
    <w:p w14:paraId="19475BF3">
      <w:pPr>
        <w:spacing w:line="580" w:lineRule="exact"/>
        <w:ind w:firstLine="640"/>
        <w:jc w:val="both"/>
      </w:pPr>
      <w:r>
        <w:rPr>
          <w:rFonts w:ascii="仿宋_GB2312" w:hAnsi="仿宋_GB2312" w:eastAsia="仿宋_GB2312"/>
          <w:b/>
          <w:sz w:val="32"/>
        </w:rPr>
        <w:t>2024年度财政拨款收入总计242.80万元，</w:t>
      </w:r>
      <w:r>
        <w:rPr>
          <w:rFonts w:ascii="仿宋_GB2312" w:hAnsi="仿宋_GB2312" w:eastAsia="仿宋_GB2312"/>
          <w:b w:val="0"/>
          <w:sz w:val="32"/>
        </w:rPr>
        <w:t>其中：年初财政拨款结转和结余0.00万元，本年财政拨款收入242.80万元。</w:t>
      </w:r>
      <w:r>
        <w:rPr>
          <w:rFonts w:ascii="仿宋_GB2312" w:hAnsi="仿宋_GB2312" w:eastAsia="仿宋_GB2312"/>
          <w:b/>
          <w:sz w:val="32"/>
        </w:rPr>
        <w:t>财政拨款支出总计242.80万元，</w:t>
      </w:r>
      <w:r>
        <w:rPr>
          <w:rFonts w:ascii="仿宋_GB2312" w:hAnsi="仿宋_GB2312" w:eastAsia="仿宋_GB2312"/>
          <w:b w:val="0"/>
          <w:sz w:val="32"/>
        </w:rPr>
        <w:t>其中：年末财政拨款结转和结余0.00万元，本年财政拨款支出242.80万元。</w:t>
      </w:r>
    </w:p>
    <w:p w14:paraId="76D9B87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增加27.73万元，增长12.89%，主要原因是：</w:t>
      </w:r>
      <w:r>
        <w:rPr>
          <w:rFonts w:hint="eastAsia" w:ascii="仿宋_GB2312" w:hAnsi="仿宋_GB2312" w:eastAsia="仿宋_GB2312"/>
          <w:b w:val="0"/>
          <w:sz w:val="32"/>
          <w:lang w:val="en-US" w:eastAsia="zh-CN"/>
        </w:rPr>
        <w:t>本年在职人员工资调增，工资、住房公积金等相关经费增加；增加</w:t>
      </w:r>
      <w:r>
        <w:rPr>
          <w:rFonts w:ascii="仿宋_GB2312" w:hAnsi="仿宋_GB2312" w:eastAsia="仿宋_GB2312"/>
          <w:b w:val="0"/>
          <w:sz w:val="32"/>
        </w:rPr>
        <w:t>2020年度舆情秘书软件服务费。</w:t>
      </w:r>
      <w:r>
        <w:rPr>
          <w:rFonts w:ascii="仿宋_GB2312" w:hAnsi="仿宋_GB2312" w:eastAsia="仿宋_GB2312"/>
          <w:b/>
          <w:sz w:val="32"/>
        </w:rPr>
        <w:t>与年初预算相比，</w:t>
      </w:r>
      <w:r>
        <w:rPr>
          <w:rFonts w:ascii="仿宋_GB2312" w:hAnsi="仿宋_GB2312" w:eastAsia="仿宋_GB2312"/>
          <w:b w:val="0"/>
          <w:sz w:val="32"/>
        </w:rPr>
        <w:t>年初预算数236.02万元，决算数242.80万元，预决算差异率2.87%，主要原因是：年中追加人员工资、社保、公积金基数调增部分资金，导致预决算存在差异。</w:t>
      </w:r>
    </w:p>
    <w:p w14:paraId="7FD56F39">
      <w:pPr>
        <w:spacing w:line="640" w:lineRule="exact"/>
        <w:ind w:firstLine="640"/>
        <w:jc w:val="both"/>
        <w:outlineLvl w:val="2"/>
      </w:pPr>
      <w:r>
        <w:rPr>
          <w:rFonts w:ascii="黑体" w:hAnsi="黑体" w:eastAsia="黑体"/>
          <w:sz w:val="32"/>
        </w:rPr>
        <w:t>五、一般公共预算财政拨款支出决算情况说明</w:t>
      </w:r>
    </w:p>
    <w:p w14:paraId="3E25B48D">
      <w:pPr>
        <w:spacing w:line="640" w:lineRule="exact"/>
        <w:ind w:firstLine="640"/>
        <w:jc w:val="both"/>
        <w:outlineLvl w:val="3"/>
      </w:pPr>
      <w:r>
        <w:rPr>
          <w:rFonts w:ascii="楷体_GB2312" w:hAnsi="楷体_GB2312" w:eastAsia="楷体_GB2312"/>
          <w:b/>
          <w:sz w:val="32"/>
        </w:rPr>
        <w:t>（一）一般公共预算财政拨款支出决算总体情况</w:t>
      </w:r>
    </w:p>
    <w:p w14:paraId="44FFAFB2">
      <w:pPr>
        <w:spacing w:line="580" w:lineRule="exact"/>
        <w:ind w:firstLine="640"/>
        <w:jc w:val="both"/>
      </w:pPr>
      <w:r>
        <w:rPr>
          <w:rFonts w:ascii="仿宋_GB2312" w:hAnsi="仿宋_GB2312" w:eastAsia="仿宋_GB2312"/>
          <w:b/>
          <w:sz w:val="32"/>
        </w:rPr>
        <w:t>2024年度一般公共预算财政拨款支出242.80万元，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增加27.73万元，增长12.89%，主要原因是：</w:t>
      </w:r>
      <w:r>
        <w:rPr>
          <w:rFonts w:hint="eastAsia" w:ascii="仿宋_GB2312" w:hAnsi="仿宋_GB2312" w:eastAsia="仿宋_GB2312"/>
          <w:b w:val="0"/>
          <w:sz w:val="32"/>
          <w:lang w:val="en-US" w:eastAsia="zh-CN"/>
        </w:rPr>
        <w:t>本年在职人员工资调增，工资、住房公积金等相关经费增加；增加</w:t>
      </w:r>
      <w:r>
        <w:rPr>
          <w:rFonts w:ascii="仿宋_GB2312" w:hAnsi="仿宋_GB2312" w:eastAsia="仿宋_GB2312"/>
          <w:b w:val="0"/>
          <w:sz w:val="32"/>
        </w:rPr>
        <w:t>2020年度舆情秘书软件服务费。</w:t>
      </w:r>
      <w:r>
        <w:rPr>
          <w:rFonts w:ascii="仿宋_GB2312" w:hAnsi="仿宋_GB2312" w:eastAsia="仿宋_GB2312"/>
          <w:b/>
          <w:sz w:val="32"/>
        </w:rPr>
        <w:t>与年初预算相比,</w:t>
      </w:r>
      <w:r>
        <w:rPr>
          <w:rFonts w:ascii="仿宋_GB2312" w:hAnsi="仿宋_GB2312" w:eastAsia="仿宋_GB2312"/>
          <w:b w:val="0"/>
          <w:sz w:val="32"/>
        </w:rPr>
        <w:t>年初预算数236.02万元，决算数242.80万元，预决算差异率2.87%，主要原因是：年中追加人员工资、社保、公积金基数调增部分资金，导致预决算存在差异。</w:t>
      </w:r>
    </w:p>
    <w:p w14:paraId="4F09E942">
      <w:pPr>
        <w:spacing w:line="640" w:lineRule="exact"/>
        <w:ind w:firstLine="640"/>
        <w:jc w:val="both"/>
        <w:outlineLvl w:val="3"/>
      </w:pPr>
      <w:r>
        <w:rPr>
          <w:rFonts w:ascii="楷体_GB2312" w:hAnsi="楷体_GB2312" w:eastAsia="楷体_GB2312"/>
          <w:b/>
          <w:sz w:val="32"/>
        </w:rPr>
        <w:t>（二）一般公共预算财政拨款支出决算结构情况</w:t>
      </w:r>
    </w:p>
    <w:p w14:paraId="6EE51242">
      <w:pPr>
        <w:spacing w:line="580" w:lineRule="exact"/>
        <w:ind w:firstLine="640"/>
        <w:jc w:val="both"/>
      </w:pPr>
      <w:r>
        <w:rPr>
          <w:rFonts w:ascii="仿宋_GB2312" w:hAnsi="仿宋_GB2312" w:eastAsia="仿宋_GB2312"/>
          <w:b w:val="0"/>
          <w:sz w:val="32"/>
        </w:rPr>
        <w:t>1.一般公共服务支出(类)190.44万元,占78.43%。</w:t>
      </w:r>
    </w:p>
    <w:p w14:paraId="7628ED55">
      <w:pPr>
        <w:spacing w:line="580" w:lineRule="exact"/>
        <w:ind w:firstLine="640"/>
        <w:jc w:val="both"/>
      </w:pPr>
      <w:r>
        <w:rPr>
          <w:rFonts w:ascii="仿宋_GB2312" w:hAnsi="仿宋_GB2312" w:eastAsia="仿宋_GB2312"/>
          <w:b w:val="0"/>
          <w:sz w:val="32"/>
        </w:rPr>
        <w:t>2.社会保障和就业支出(类)22.96万元,占9.46%。</w:t>
      </w:r>
    </w:p>
    <w:p w14:paraId="1FE262D3">
      <w:pPr>
        <w:spacing w:line="580" w:lineRule="exact"/>
        <w:ind w:firstLine="640"/>
        <w:jc w:val="both"/>
      </w:pPr>
      <w:r>
        <w:rPr>
          <w:rFonts w:ascii="仿宋_GB2312" w:hAnsi="仿宋_GB2312" w:eastAsia="仿宋_GB2312"/>
          <w:b w:val="0"/>
          <w:sz w:val="32"/>
        </w:rPr>
        <w:t>3.卫生健康支出(类)10.49万元,占4.32%。</w:t>
      </w:r>
    </w:p>
    <w:p w14:paraId="2D7C5F73">
      <w:pPr>
        <w:spacing w:line="580" w:lineRule="exact"/>
        <w:ind w:firstLine="640"/>
        <w:jc w:val="both"/>
      </w:pPr>
      <w:r>
        <w:rPr>
          <w:rFonts w:ascii="仿宋_GB2312" w:hAnsi="仿宋_GB2312" w:eastAsia="仿宋_GB2312"/>
          <w:b w:val="0"/>
          <w:sz w:val="32"/>
        </w:rPr>
        <w:t>4.住房保障支出(类)18.90万元,占7.78%。</w:t>
      </w:r>
    </w:p>
    <w:p w14:paraId="2D34D01B">
      <w:pPr>
        <w:spacing w:line="640" w:lineRule="exact"/>
        <w:ind w:firstLine="640"/>
        <w:jc w:val="both"/>
        <w:outlineLvl w:val="3"/>
      </w:pPr>
      <w:r>
        <w:rPr>
          <w:rFonts w:ascii="楷体_GB2312" w:hAnsi="楷体_GB2312" w:eastAsia="楷体_GB2312"/>
          <w:b/>
          <w:sz w:val="32"/>
        </w:rPr>
        <w:t>（三）一般公共预算财政拨款支出决算具体情况</w:t>
      </w:r>
    </w:p>
    <w:p w14:paraId="095510DB">
      <w:pPr>
        <w:spacing w:line="580" w:lineRule="exact"/>
        <w:ind w:firstLine="640"/>
        <w:jc w:val="both"/>
      </w:pPr>
      <w:r>
        <w:rPr>
          <w:rFonts w:ascii="仿宋_GB2312" w:hAnsi="仿宋_GB2312" w:eastAsia="仿宋_GB2312"/>
          <w:b w:val="0"/>
          <w:sz w:val="32"/>
        </w:rPr>
        <w:t>1.一般公共服务支出(类)网信事务(款)行政运行(项):支出决算数为190.44万元，比上年决算增加19.97万元，增长11.71%,主要原因是：本年支付2020年度舆情秘书软件服务费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在职人员工资调增，人员经费增加</w:t>
      </w:r>
      <w:r>
        <w:rPr>
          <w:rFonts w:ascii="仿宋_GB2312" w:hAnsi="仿宋_GB2312" w:eastAsia="仿宋_GB2312"/>
          <w:b w:val="0"/>
          <w:sz w:val="32"/>
        </w:rPr>
        <w:t>。</w:t>
      </w:r>
    </w:p>
    <w:p w14:paraId="075888B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22.96万元，比上年决算增加3.74万元，增长19.46%,主要原因是：本年在职人员工资基数调增，养老缴费基数上涨，相应支出增加。</w:t>
      </w:r>
    </w:p>
    <w:p w14:paraId="2EF9A888">
      <w:pPr>
        <w:spacing w:line="580" w:lineRule="exact"/>
        <w:ind w:firstLine="640"/>
        <w:jc w:val="both"/>
      </w:pPr>
      <w:r>
        <w:rPr>
          <w:rFonts w:ascii="仿宋_GB2312" w:hAnsi="仿宋_GB2312" w:eastAsia="仿宋_GB2312"/>
          <w:b w:val="0"/>
          <w:sz w:val="32"/>
        </w:rPr>
        <w:t>3.卫生健康支出(类)行政事业单位医疗(款)行政单位医疗(项):支出决算数为9.42万元，比上年决算增加0.85万元，增长9.92%,主要原因是：本年在职人员工资基数调增，医疗缴费基数上涨，相应支出增加。</w:t>
      </w:r>
    </w:p>
    <w:p w14:paraId="2C075515">
      <w:pPr>
        <w:spacing w:line="580" w:lineRule="exact"/>
        <w:ind w:firstLine="640"/>
        <w:jc w:val="both"/>
      </w:pPr>
      <w:r>
        <w:rPr>
          <w:rFonts w:ascii="仿宋_GB2312" w:hAnsi="仿宋_GB2312" w:eastAsia="仿宋_GB2312"/>
          <w:b w:val="0"/>
          <w:sz w:val="32"/>
        </w:rPr>
        <w:t>4.卫生健康支出(类)行政事业单位医疗(款)公务员医疗补助(项):支出决算数为1.06万元，比上年决算减少0.09万元，下降7.83%,主要原因是：本年调出1人，公务员医疗补助经费较上年减少。</w:t>
      </w:r>
    </w:p>
    <w:p w14:paraId="7116EA07">
      <w:pPr>
        <w:spacing w:line="580" w:lineRule="exact"/>
        <w:ind w:firstLine="640"/>
        <w:jc w:val="both"/>
      </w:pPr>
      <w:r>
        <w:rPr>
          <w:rFonts w:ascii="仿宋_GB2312" w:hAnsi="仿宋_GB2312" w:eastAsia="仿宋_GB2312"/>
          <w:b w:val="0"/>
          <w:sz w:val="32"/>
        </w:rPr>
        <w:t>5.住房保障支出(类)住房改革支出(款)住房公积金(项):支出决算数为18.90万元，比上年决算增加3.23万元，增长20.61%,主要原因是：本年在职人员工资基数调增，公积金缴费基数上涨，相应支出增加。</w:t>
      </w:r>
    </w:p>
    <w:p w14:paraId="1B8CB8D2">
      <w:pPr>
        <w:spacing w:line="640" w:lineRule="exact"/>
        <w:ind w:firstLine="640"/>
        <w:jc w:val="both"/>
        <w:outlineLvl w:val="2"/>
      </w:pPr>
      <w:r>
        <w:rPr>
          <w:rFonts w:ascii="黑体" w:hAnsi="黑体" w:eastAsia="黑体"/>
          <w:sz w:val="32"/>
        </w:rPr>
        <w:t>六、一般公共预算财政拨款基本支出决算情况说明</w:t>
      </w:r>
    </w:p>
    <w:p w14:paraId="3100F9DE">
      <w:pPr>
        <w:spacing w:line="580" w:lineRule="exact"/>
        <w:ind w:firstLine="640"/>
        <w:jc w:val="both"/>
      </w:pPr>
      <w:r>
        <w:rPr>
          <w:rFonts w:ascii="仿宋_GB2312" w:hAnsi="仿宋_GB2312" w:eastAsia="仿宋_GB2312"/>
          <w:b w:val="0"/>
          <w:sz w:val="32"/>
        </w:rPr>
        <w:t>2024年度一般公共预算财政拨款基本支出242.80万元，其中：</w:t>
      </w:r>
      <w:r>
        <w:rPr>
          <w:rFonts w:ascii="仿宋_GB2312" w:hAnsi="仿宋_GB2312" w:eastAsia="仿宋_GB2312"/>
          <w:b/>
          <w:sz w:val="32"/>
        </w:rPr>
        <w:t>人员经费226.35万元，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包括：基本工资、津贴补贴、奖金、绩效工资、机关事业单位基本养老保险缴费、职工基本医疗保险缴费、公务员医疗补助缴费、其他社会保障缴费、住房公积金、奖励金。</w:t>
      </w:r>
    </w:p>
    <w:p w14:paraId="463479D9">
      <w:pPr>
        <w:spacing w:line="580" w:lineRule="exact"/>
        <w:ind w:firstLine="640"/>
        <w:jc w:val="both"/>
      </w:pPr>
      <w:r>
        <w:rPr>
          <w:rFonts w:ascii="仿宋_GB2312" w:hAnsi="仿宋_GB2312" w:eastAsia="仿宋_GB2312"/>
          <w:b/>
          <w:sz w:val="32"/>
        </w:rPr>
        <w:t>公用经费16.44万元，</w:t>
      </w:r>
      <w:r>
        <w:rPr>
          <w:rFonts w:ascii="仿宋_GB2312" w:hAnsi="仿宋_GB2312" w:eastAsia="仿宋_GB2312"/>
          <w:b w:val="0"/>
          <w:sz w:val="32"/>
        </w:rPr>
        <w:t>包括：办公费、印刷费、邮电费、取暖费、差旅费、专用材料费、工会经费、办公设备购置。</w:t>
      </w:r>
    </w:p>
    <w:p w14:paraId="4D6592FD">
      <w:pPr>
        <w:spacing w:line="640" w:lineRule="exact"/>
        <w:ind w:firstLine="640"/>
        <w:jc w:val="both"/>
        <w:outlineLvl w:val="2"/>
      </w:pPr>
      <w:r>
        <w:rPr>
          <w:rFonts w:ascii="黑体" w:hAnsi="黑体" w:eastAsia="黑体"/>
          <w:sz w:val="32"/>
        </w:rPr>
        <w:t>七、政府性基金预算财政拨款收入支出决算情况说明</w:t>
      </w:r>
    </w:p>
    <w:p w14:paraId="4C0BFB1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659B494">
      <w:pPr>
        <w:spacing w:line="640" w:lineRule="exact"/>
        <w:ind w:firstLine="640"/>
        <w:jc w:val="both"/>
        <w:outlineLvl w:val="2"/>
      </w:pPr>
      <w:r>
        <w:rPr>
          <w:rFonts w:ascii="黑体" w:hAnsi="黑体" w:eastAsia="黑体"/>
          <w:sz w:val="32"/>
        </w:rPr>
        <w:t>八、国有资本经营预算财政拨款收入支出决算情况说明</w:t>
      </w:r>
    </w:p>
    <w:p w14:paraId="03D2F24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B0F7A2">
      <w:pPr>
        <w:spacing w:line="640" w:lineRule="exact"/>
        <w:ind w:firstLine="640"/>
        <w:jc w:val="both"/>
        <w:outlineLvl w:val="2"/>
      </w:pPr>
      <w:r>
        <w:rPr>
          <w:rFonts w:ascii="黑体" w:hAnsi="黑体" w:eastAsia="黑体"/>
          <w:sz w:val="32"/>
        </w:rPr>
        <w:t>九、财政拨款“三公”经费支出决算情况说明</w:t>
      </w:r>
    </w:p>
    <w:p w14:paraId="0D659E1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09399E2">
      <w:pPr>
        <w:spacing w:line="580" w:lineRule="exact"/>
        <w:ind w:firstLine="640"/>
        <w:jc w:val="both"/>
      </w:pPr>
      <w:r>
        <w:rPr>
          <w:rFonts w:ascii="仿宋_GB2312" w:hAnsi="仿宋_GB2312" w:eastAsia="仿宋_GB2312"/>
          <w:b/>
          <w:sz w:val="32"/>
        </w:rPr>
        <w:t>具体情况如下：</w:t>
      </w:r>
    </w:p>
    <w:p w14:paraId="0F9F3E9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w:t>
      </w:r>
      <w:bookmarkStart w:id="0" w:name="_GoBack"/>
      <w:bookmarkEnd w:id="0"/>
      <w:r>
        <w:rPr>
          <w:rFonts w:ascii="仿宋_GB2312" w:hAnsi="仿宋_GB2312" w:eastAsia="仿宋_GB2312"/>
          <w:b w:val="0"/>
          <w:sz w:val="32"/>
        </w:rPr>
        <w:t>个，因公出国（境）0人次。</w:t>
      </w:r>
    </w:p>
    <w:p w14:paraId="02E98ED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w w:val="97"/>
          <w:sz w:val="32"/>
        </w:rPr>
        <w:t>车辆0辆，与公务用车保有量差异原因是：本单位无固定资产车辆。</w:t>
      </w:r>
    </w:p>
    <w:p w14:paraId="0A16560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D7D631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D574A79">
      <w:pPr>
        <w:spacing w:line="640" w:lineRule="exact"/>
        <w:ind w:firstLine="640"/>
        <w:jc w:val="both"/>
        <w:outlineLvl w:val="2"/>
      </w:pPr>
      <w:r>
        <w:rPr>
          <w:rFonts w:ascii="黑体" w:hAnsi="黑体" w:eastAsia="黑体"/>
          <w:sz w:val="32"/>
        </w:rPr>
        <w:t>十、其他重要事项的情况说明</w:t>
      </w:r>
    </w:p>
    <w:p w14:paraId="3099C561">
      <w:pPr>
        <w:spacing w:line="640" w:lineRule="exact"/>
        <w:ind w:firstLine="640"/>
        <w:jc w:val="both"/>
        <w:outlineLvl w:val="3"/>
      </w:pPr>
      <w:r>
        <w:rPr>
          <w:rFonts w:ascii="楷体_GB2312" w:hAnsi="楷体_GB2312" w:eastAsia="楷体_GB2312"/>
          <w:b/>
          <w:sz w:val="32"/>
        </w:rPr>
        <w:t>（一）机关运行经费及公用经费支出情况</w:t>
      </w:r>
    </w:p>
    <w:p w14:paraId="3EC123C7">
      <w:pPr>
        <w:spacing w:line="580" w:lineRule="exact"/>
        <w:ind w:firstLine="640"/>
        <w:jc w:val="both"/>
      </w:pPr>
      <w:r>
        <w:rPr>
          <w:rFonts w:ascii="仿宋_GB2312" w:hAnsi="仿宋_GB2312" w:eastAsia="仿宋_GB2312"/>
          <w:b w:val="0"/>
          <w:sz w:val="32"/>
        </w:rPr>
        <w:t>2024年度中共托里县委员会网络安全和信息化委员会办公室（行政单位和参照公务员法管理事业单位）机关运行经费支出16.44万元，比上年增加2.80万元，增长20.53%，主要原因是：因本年度支付</w:t>
      </w:r>
      <w:r>
        <w:rPr>
          <w:rFonts w:hint="eastAsia" w:ascii="仿宋_GB2312" w:hAnsi="仿宋_GB2312" w:eastAsia="仿宋_GB2312"/>
          <w:b w:val="0"/>
          <w:sz w:val="32"/>
          <w:lang w:val="en-US" w:eastAsia="zh-CN"/>
        </w:rPr>
        <w:t>以前</w:t>
      </w:r>
      <w:r>
        <w:rPr>
          <w:rFonts w:ascii="仿宋_GB2312" w:hAnsi="仿宋_GB2312" w:eastAsia="仿宋_GB2312"/>
          <w:b w:val="0"/>
          <w:sz w:val="32"/>
        </w:rPr>
        <w:t>年度办公费，导致</w:t>
      </w:r>
      <w:r>
        <w:rPr>
          <w:rFonts w:hint="eastAsia" w:ascii="仿宋_GB2312" w:hAnsi="仿宋_GB2312" w:eastAsia="仿宋_GB2312"/>
          <w:b w:val="0"/>
          <w:sz w:val="32"/>
          <w:lang w:val="en-US" w:eastAsia="zh-CN"/>
        </w:rPr>
        <w:t>机关运行经费</w:t>
      </w:r>
      <w:r>
        <w:rPr>
          <w:rFonts w:ascii="仿宋_GB2312" w:hAnsi="仿宋_GB2312" w:eastAsia="仿宋_GB2312"/>
          <w:b w:val="0"/>
          <w:sz w:val="32"/>
        </w:rPr>
        <w:t>增加。</w:t>
      </w:r>
    </w:p>
    <w:p w14:paraId="0A521091">
      <w:pPr>
        <w:spacing w:line="640" w:lineRule="exact"/>
        <w:ind w:firstLine="640"/>
        <w:jc w:val="both"/>
        <w:outlineLvl w:val="3"/>
      </w:pPr>
      <w:r>
        <w:rPr>
          <w:rFonts w:ascii="楷体_GB2312" w:hAnsi="楷体_GB2312" w:eastAsia="楷体_GB2312"/>
          <w:b/>
          <w:sz w:val="32"/>
        </w:rPr>
        <w:t>（二）政府采购情况</w:t>
      </w:r>
    </w:p>
    <w:p w14:paraId="5CF07705">
      <w:pPr>
        <w:spacing w:line="580" w:lineRule="exact"/>
        <w:ind w:firstLine="640"/>
        <w:jc w:val="both"/>
      </w:pPr>
      <w:r>
        <w:rPr>
          <w:rFonts w:ascii="仿宋_GB2312" w:hAnsi="仿宋_GB2312" w:eastAsia="仿宋_GB2312"/>
          <w:b w:val="0"/>
          <w:sz w:val="32"/>
        </w:rPr>
        <w:t>2024年度政府采购支出总额2.59万元，其中：政府采购货物支出2.03万元、政府采购工程支出0.00万元、政府采购服务支出0.55万元。</w:t>
      </w:r>
    </w:p>
    <w:p w14:paraId="5067B253">
      <w:pPr>
        <w:spacing w:line="580" w:lineRule="exact"/>
        <w:ind w:firstLine="640"/>
        <w:jc w:val="both"/>
      </w:pPr>
      <w:r>
        <w:rPr>
          <w:rFonts w:ascii="仿宋_GB2312" w:hAnsi="仿宋_GB2312" w:eastAsia="仿宋_GB2312"/>
          <w:b w:val="0"/>
          <w:sz w:val="32"/>
        </w:rPr>
        <w:t>授予中小企业合同金额2.59万元，占政府采购支出总额的100.00%，其中：授予小微企业合同金额2.59万元，占政府采购支出总额的100.00%。</w:t>
      </w:r>
    </w:p>
    <w:p w14:paraId="013FF184">
      <w:pPr>
        <w:spacing w:line="640" w:lineRule="exact"/>
        <w:ind w:firstLine="640"/>
        <w:jc w:val="both"/>
        <w:outlineLvl w:val="3"/>
      </w:pPr>
      <w:r>
        <w:rPr>
          <w:rFonts w:ascii="楷体_GB2312" w:hAnsi="楷体_GB2312" w:eastAsia="楷体_GB2312"/>
          <w:b/>
          <w:sz w:val="32"/>
        </w:rPr>
        <w:t>（三）国有资产占用情况说明</w:t>
      </w:r>
    </w:p>
    <w:p w14:paraId="2463788D">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BD4F09E">
      <w:pPr>
        <w:spacing w:line="640" w:lineRule="exact"/>
        <w:ind w:firstLine="640"/>
        <w:jc w:val="both"/>
        <w:outlineLvl w:val="2"/>
      </w:pPr>
      <w:r>
        <w:rPr>
          <w:rFonts w:ascii="黑体" w:hAnsi="黑体" w:eastAsia="黑体"/>
          <w:sz w:val="32"/>
        </w:rPr>
        <w:t>十一、预算绩效的情况说明</w:t>
      </w:r>
    </w:p>
    <w:p w14:paraId="1D4CD18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242.79万元，实际执行总额242.79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39AF709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634D8EA">
        <w:tblPrEx>
          <w:tblCellMar>
            <w:top w:w="0" w:type="dxa"/>
            <w:left w:w="108" w:type="dxa"/>
            <w:bottom w:w="0" w:type="dxa"/>
            <w:right w:w="108" w:type="dxa"/>
          </w:tblCellMar>
        </w:tblPrEx>
        <w:tc>
          <w:tcPr>
            <w:tcW w:w="8840" w:type="dxa"/>
            <w:gridSpan w:val="8"/>
            <w:vAlign w:val="center"/>
          </w:tcPr>
          <w:p w14:paraId="66610832">
            <w:pPr>
              <w:jc w:val="center"/>
            </w:pPr>
            <w:r>
              <w:rPr>
                <w:rFonts w:ascii="宋体" w:hAnsi="宋体" w:eastAsia="宋体"/>
                <w:sz w:val="24"/>
              </w:rPr>
              <w:t>单位整体支出绩效自评表</w:t>
            </w:r>
          </w:p>
        </w:tc>
      </w:tr>
      <w:tr w14:paraId="291BFE39">
        <w:tblPrEx>
          <w:tblCellMar>
            <w:top w:w="0" w:type="dxa"/>
            <w:left w:w="108" w:type="dxa"/>
            <w:bottom w:w="0" w:type="dxa"/>
            <w:right w:w="108" w:type="dxa"/>
          </w:tblCellMar>
        </w:tblPrEx>
        <w:tc>
          <w:tcPr>
            <w:tcW w:w="8840" w:type="dxa"/>
            <w:gridSpan w:val="8"/>
            <w:vAlign w:val="center"/>
          </w:tcPr>
          <w:p w14:paraId="77BEAE9E">
            <w:pPr>
              <w:jc w:val="center"/>
            </w:pPr>
            <w:r>
              <w:rPr>
                <w:rFonts w:ascii="宋体" w:hAnsi="宋体" w:eastAsia="宋体"/>
                <w:sz w:val="24"/>
              </w:rPr>
              <w:t>（2024年度）</w:t>
            </w:r>
          </w:p>
        </w:tc>
      </w:tr>
      <w:tr w14:paraId="73354D0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6750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980AC">
            <w:pPr>
              <w:jc w:val="center"/>
            </w:pPr>
            <w:r>
              <w:rPr>
                <w:rFonts w:ascii="宋体" w:hAnsi="宋体" w:eastAsia="宋体"/>
                <w:sz w:val="16"/>
              </w:rPr>
              <w:t>中共托里县委员会网络安全和信息化委员会办公室</w:t>
            </w:r>
          </w:p>
        </w:tc>
      </w:tr>
      <w:tr w14:paraId="648B4AB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3CAA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F8B9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A07D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9505C">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11BB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34F8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9FAB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B6835">
            <w:pPr>
              <w:jc w:val="center"/>
            </w:pPr>
            <w:r>
              <w:rPr>
                <w:rFonts w:ascii="宋体" w:hAnsi="宋体" w:eastAsia="宋体"/>
                <w:sz w:val="16"/>
              </w:rPr>
              <w:t>得分</w:t>
            </w:r>
          </w:p>
        </w:tc>
      </w:tr>
      <w:tr w14:paraId="61BB40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5689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751F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2E4B9">
            <w:pPr>
              <w:jc w:val="center"/>
            </w:pPr>
            <w:r>
              <w:rPr>
                <w:rFonts w:ascii="宋体" w:hAnsi="宋体" w:eastAsia="宋体"/>
                <w:sz w:val="16"/>
              </w:rPr>
              <w:t>236.02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16D1F">
            <w:pPr>
              <w:jc w:val="center"/>
            </w:pPr>
            <w:r>
              <w:rPr>
                <w:rFonts w:ascii="宋体" w:hAnsi="宋体" w:eastAsia="宋体"/>
                <w:sz w:val="16"/>
              </w:rPr>
              <w:t>242.79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5AF51">
            <w:pPr>
              <w:jc w:val="center"/>
            </w:pPr>
            <w:r>
              <w:rPr>
                <w:rFonts w:ascii="宋体" w:hAnsi="宋体" w:eastAsia="宋体"/>
                <w:sz w:val="16"/>
              </w:rPr>
              <w:t>242.79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6D53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D499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84AF7">
            <w:pPr>
              <w:jc w:val="center"/>
            </w:pPr>
            <w:r>
              <w:rPr>
                <w:rFonts w:ascii="宋体" w:hAnsi="宋体" w:eastAsia="宋体"/>
                <w:sz w:val="16"/>
              </w:rPr>
              <w:t>10</w:t>
            </w:r>
          </w:p>
        </w:tc>
      </w:tr>
      <w:tr w14:paraId="4B8A5A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8420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B0099">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7BF1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3A9D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BA9D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9A0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15E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1DAB3">
            <w:pPr>
              <w:jc w:val="center"/>
            </w:pPr>
            <w:r>
              <w:rPr>
                <w:rFonts w:ascii="宋体" w:hAnsi="宋体" w:eastAsia="宋体"/>
                <w:sz w:val="16"/>
              </w:rPr>
              <w:t>-</w:t>
            </w:r>
          </w:p>
        </w:tc>
      </w:tr>
      <w:tr w14:paraId="2A3185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9DBA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8BDC7">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BBE65">
            <w:pPr>
              <w:jc w:val="center"/>
            </w:pPr>
            <w:r>
              <w:rPr>
                <w:rFonts w:ascii="宋体" w:hAnsi="宋体" w:eastAsia="宋体"/>
                <w:sz w:val="16"/>
              </w:rPr>
              <w:t>236.02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0D2DE">
            <w:pPr>
              <w:jc w:val="center"/>
            </w:pPr>
            <w:r>
              <w:rPr>
                <w:rFonts w:ascii="宋体" w:hAnsi="宋体" w:eastAsia="宋体"/>
                <w:sz w:val="16"/>
              </w:rPr>
              <w:t>242.79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D05DA">
            <w:pPr>
              <w:jc w:val="center"/>
            </w:pPr>
            <w:r>
              <w:rPr>
                <w:rFonts w:ascii="宋体" w:hAnsi="宋体" w:eastAsia="宋体"/>
                <w:sz w:val="16"/>
              </w:rPr>
              <w:t>242.79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8B2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CD0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4267E">
            <w:pPr>
              <w:jc w:val="center"/>
            </w:pPr>
            <w:r>
              <w:rPr>
                <w:rFonts w:ascii="宋体" w:hAnsi="宋体" w:eastAsia="宋体"/>
                <w:sz w:val="16"/>
              </w:rPr>
              <w:t>-</w:t>
            </w:r>
          </w:p>
        </w:tc>
      </w:tr>
      <w:tr w14:paraId="15013C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B6EA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D1DFD">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5BCF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485B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CED3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0A7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9DB2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29FC5">
            <w:pPr>
              <w:jc w:val="center"/>
            </w:pPr>
            <w:r>
              <w:rPr>
                <w:rFonts w:ascii="宋体" w:hAnsi="宋体" w:eastAsia="宋体"/>
                <w:sz w:val="16"/>
              </w:rPr>
              <w:t>-</w:t>
            </w:r>
          </w:p>
        </w:tc>
      </w:tr>
      <w:tr w14:paraId="483831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BE4A3">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05B21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BEFA83">
            <w:pPr>
              <w:jc w:val="center"/>
            </w:pPr>
            <w:r>
              <w:rPr>
                <w:rFonts w:ascii="宋体" w:hAnsi="宋体" w:eastAsia="宋体"/>
                <w:sz w:val="16"/>
              </w:rPr>
              <w:t>实际完成情况</w:t>
            </w:r>
          </w:p>
        </w:tc>
      </w:tr>
      <w:tr w14:paraId="59F7BC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DE6A8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075067">
            <w:pPr>
              <w:jc w:val="both"/>
            </w:pPr>
            <w:r>
              <w:rPr>
                <w:rFonts w:ascii="宋体" w:hAnsi="宋体" w:eastAsia="宋体"/>
                <w:sz w:val="16"/>
              </w:rPr>
              <w:t>确保托里县整体网络安全和信息化建设，负责全县互联网绝对安全，网络空间</w:t>
            </w:r>
            <w:r>
              <w:rPr>
                <w:rFonts w:hint="eastAsia" w:ascii="宋体" w:hAnsi="宋体"/>
                <w:sz w:val="16"/>
                <w:lang w:eastAsia="zh-CN"/>
              </w:rPr>
              <w:t>清朗</w:t>
            </w:r>
            <w:r>
              <w:rPr>
                <w:rFonts w:ascii="宋体" w:hAnsi="宋体" w:eastAsia="宋体"/>
                <w:sz w:val="16"/>
              </w:rPr>
              <w:t>，保障网络宣传管理和舆论引导工作。维护互联网意识形态安全，开展互联网信息内容监督管理执法，风险隐患发现及时率达到96%，组织开展网络舆论生态治理，负责指导协调网络舆论信息工作，跟踪了解和掌握网络舆情动态，风险隐患通报率达到97%，依法规范全县互联网舆情服务市场目标，风险隐患整改率达到96%，负责全县属地网站，公众号，微博，新媒体等正常运转信息发布工作，负责上级领导交办的其他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A98EF6">
            <w:pPr>
              <w:jc w:val="both"/>
            </w:pPr>
            <w:r>
              <w:rPr>
                <w:rFonts w:ascii="宋体" w:hAnsi="宋体" w:eastAsia="宋体"/>
                <w:sz w:val="16"/>
              </w:rPr>
              <w:t>深化了网络空间法治化建设，提升了公众对网络信息安全重要性的认识。健全互联网领域党建工作体制机制，提升了托里县互联网领域党务工作者能力，增强了互联网领域党组织凝聚力、战斗力，深入开展党的二十大精神学习，确保了信息系统和网络安全。推动了网信各项工作落实落地落细。统筹抓好网络安全和信息化发展两个关键，扎实推进托里网信系统政治引领更加坚定、依法治网更加系统、信息引领更加有力、安全保障更加巩固、组织队伍更加</w:t>
            </w:r>
            <w:r>
              <w:rPr>
                <w:rFonts w:hint="eastAsia" w:ascii="宋体" w:hAnsi="宋体"/>
                <w:sz w:val="16"/>
                <w:lang w:eastAsia="zh-CN"/>
              </w:rPr>
              <w:t>坚实</w:t>
            </w:r>
            <w:r>
              <w:rPr>
                <w:rFonts w:ascii="宋体" w:hAnsi="宋体" w:eastAsia="宋体"/>
                <w:sz w:val="16"/>
              </w:rPr>
              <w:t>，切实提供有力服务支撑和保障。</w:t>
            </w:r>
          </w:p>
        </w:tc>
      </w:tr>
      <w:tr w14:paraId="11F493C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09706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D4FA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8151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360A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9376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6712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8014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179C4">
            <w:pPr>
              <w:jc w:val="center"/>
            </w:pPr>
            <w:r>
              <w:rPr>
                <w:rFonts w:ascii="宋体" w:hAnsi="宋体" w:eastAsia="宋体"/>
                <w:sz w:val="16"/>
              </w:rPr>
              <w:t>得分</w:t>
            </w:r>
          </w:p>
        </w:tc>
      </w:tr>
      <w:tr w14:paraId="79B075B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86FA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9307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B74B4">
            <w:pPr>
              <w:jc w:val="center"/>
            </w:pPr>
            <w:r>
              <w:rPr>
                <w:rFonts w:ascii="宋体" w:hAnsi="宋体" w:eastAsia="宋体"/>
                <w:sz w:val="16"/>
              </w:rPr>
              <w:t>风险隐患发现及时率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47A7F">
            <w:pPr>
              <w:jc w:val="center"/>
            </w:pPr>
            <w:r>
              <w:rPr>
                <w:rFonts w:ascii="宋体" w:hAnsi="宋体" w:eastAsia="宋体"/>
                <w:sz w:val="16"/>
              </w:rPr>
              <w:t>&gt;=96%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AE627">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73FF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14D2E">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973ED">
            <w:pPr>
              <w:jc w:val="center"/>
            </w:pPr>
            <w:r>
              <w:rPr>
                <w:rFonts w:ascii="宋体" w:hAnsi="宋体" w:eastAsia="宋体"/>
                <w:sz w:val="16"/>
              </w:rPr>
              <w:t>20</w:t>
            </w:r>
          </w:p>
        </w:tc>
      </w:tr>
      <w:tr w14:paraId="0E8456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643B2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6BF3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CCDFF">
            <w:pPr>
              <w:jc w:val="center"/>
            </w:pPr>
            <w:r>
              <w:rPr>
                <w:rFonts w:ascii="宋体" w:hAnsi="宋体" w:eastAsia="宋体"/>
                <w:sz w:val="16"/>
              </w:rPr>
              <w:t>风险隐患通报率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75A90">
            <w:pPr>
              <w:jc w:val="center"/>
            </w:pPr>
            <w:r>
              <w:rPr>
                <w:rFonts w:ascii="宋体" w:hAnsi="宋体" w:eastAsia="宋体"/>
                <w:sz w:val="16"/>
              </w:rPr>
              <w:t>&gt;=97%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23B75">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E9E4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75A41">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8CE58">
            <w:pPr>
              <w:jc w:val="center"/>
            </w:pPr>
            <w:r>
              <w:rPr>
                <w:rFonts w:ascii="宋体" w:hAnsi="宋体" w:eastAsia="宋体"/>
                <w:sz w:val="16"/>
              </w:rPr>
              <w:t>15</w:t>
            </w:r>
          </w:p>
        </w:tc>
      </w:tr>
      <w:tr w14:paraId="39998F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F0A15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0E21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6A157">
            <w:pPr>
              <w:jc w:val="center"/>
            </w:pPr>
            <w:r>
              <w:rPr>
                <w:rFonts w:ascii="宋体" w:hAnsi="宋体" w:eastAsia="宋体"/>
                <w:sz w:val="16"/>
              </w:rPr>
              <w:t>风险隐患整改率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6CE2E">
            <w:pPr>
              <w:jc w:val="center"/>
            </w:pPr>
            <w:r>
              <w:rPr>
                <w:rFonts w:ascii="宋体" w:hAnsi="宋体" w:eastAsia="宋体"/>
                <w:sz w:val="16"/>
              </w:rPr>
              <w:t>&gt;=96%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B5BA8">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F699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22DA5">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2D78C">
            <w:pPr>
              <w:jc w:val="center"/>
            </w:pPr>
            <w:r>
              <w:rPr>
                <w:rFonts w:ascii="宋体" w:hAnsi="宋体" w:eastAsia="宋体"/>
                <w:sz w:val="16"/>
              </w:rPr>
              <w:t>20</w:t>
            </w:r>
          </w:p>
        </w:tc>
      </w:tr>
      <w:tr w14:paraId="08A376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0F8D7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DC60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4FC3F">
            <w:pPr>
              <w:jc w:val="center"/>
            </w:pPr>
            <w:r>
              <w:rPr>
                <w:rFonts w:ascii="宋体" w:hAnsi="宋体" w:eastAsia="宋体"/>
                <w:sz w:val="16"/>
              </w:rPr>
              <w:t>普法宣传次数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8A2A5">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4FD1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52D3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84DB9">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56983">
            <w:pPr>
              <w:jc w:val="center"/>
            </w:pPr>
            <w:r>
              <w:rPr>
                <w:rFonts w:ascii="宋体" w:hAnsi="宋体" w:eastAsia="宋体"/>
                <w:sz w:val="16"/>
              </w:rPr>
              <w:t>15</w:t>
            </w:r>
          </w:p>
        </w:tc>
      </w:tr>
      <w:tr w14:paraId="74B35C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D1A0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91B7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A2D03">
            <w:pPr>
              <w:jc w:val="center"/>
            </w:pPr>
            <w:r>
              <w:rPr>
                <w:rFonts w:ascii="宋体" w:hAnsi="宋体" w:eastAsia="宋体"/>
                <w:sz w:val="16"/>
              </w:rPr>
              <w:t>开展网络安全培训次数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3F484">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5F945">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5D1E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A8DD9">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8A7D3">
            <w:pPr>
              <w:jc w:val="center"/>
            </w:pPr>
            <w:r>
              <w:rPr>
                <w:rFonts w:ascii="宋体" w:hAnsi="宋体" w:eastAsia="宋体"/>
                <w:sz w:val="16"/>
              </w:rPr>
              <w:t>20</w:t>
            </w:r>
          </w:p>
        </w:tc>
      </w:tr>
    </w:tbl>
    <w:p w14:paraId="630E1FDF">
      <w:r>
        <w:br w:type="page"/>
      </w:r>
    </w:p>
    <w:p w14:paraId="538E1AB2">
      <w:pPr>
        <w:spacing w:line="640" w:lineRule="exact"/>
        <w:ind w:firstLine="640"/>
        <w:jc w:val="both"/>
        <w:outlineLvl w:val="2"/>
      </w:pPr>
      <w:r>
        <w:rPr>
          <w:rFonts w:ascii="黑体" w:hAnsi="黑体" w:eastAsia="黑体"/>
          <w:sz w:val="32"/>
        </w:rPr>
        <w:t>十二、其他需说明的事项</w:t>
      </w:r>
    </w:p>
    <w:p w14:paraId="1221CC20">
      <w:pPr>
        <w:spacing w:line="580" w:lineRule="exact"/>
        <w:ind w:firstLine="640"/>
        <w:jc w:val="both"/>
      </w:pPr>
      <w:r>
        <w:rPr>
          <w:rFonts w:ascii="仿宋_GB2312" w:hAnsi="仿宋_GB2312" w:eastAsia="仿宋_GB2312"/>
          <w:b w:val="0"/>
          <w:sz w:val="32"/>
        </w:rPr>
        <w:t>本单位无其他需说明的事项。</w:t>
      </w:r>
    </w:p>
    <w:p w14:paraId="7424BFD0">
      <w:r>
        <w:br w:type="page"/>
      </w:r>
    </w:p>
    <w:p w14:paraId="245C3E48">
      <w:pPr>
        <w:spacing w:line="240" w:lineRule="auto"/>
        <w:jc w:val="center"/>
        <w:outlineLvl w:val="1"/>
      </w:pPr>
      <w:r>
        <w:rPr>
          <w:rFonts w:ascii="黑体" w:hAnsi="黑体" w:eastAsia="黑体"/>
          <w:sz w:val="32"/>
        </w:rPr>
        <w:t>第三部分 专业名词解释</w:t>
      </w:r>
    </w:p>
    <w:p w14:paraId="4D0ECFA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16A28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5FA74C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14040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799B59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17C79B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EE345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2E738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80C5D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9EF4A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8EC93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65E22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75FE2F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501F8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A1178C">
      <w:r>
        <w:br w:type="page"/>
      </w:r>
    </w:p>
    <w:p w14:paraId="001E00C0">
      <w:pPr>
        <w:spacing w:line="240" w:lineRule="auto"/>
        <w:jc w:val="center"/>
        <w:outlineLvl w:val="1"/>
      </w:pPr>
      <w:r>
        <w:rPr>
          <w:rFonts w:ascii="黑体" w:hAnsi="黑体" w:eastAsia="黑体"/>
          <w:sz w:val="32"/>
        </w:rPr>
        <w:t>第四部分 部门决算报表（见附表）</w:t>
      </w:r>
    </w:p>
    <w:p w14:paraId="5CEFC66F">
      <w:pPr>
        <w:spacing w:line="240" w:lineRule="auto"/>
        <w:ind w:firstLine="640"/>
        <w:jc w:val="both"/>
      </w:pPr>
      <w:r>
        <w:rPr>
          <w:rFonts w:ascii="仿宋_GB2312" w:hAnsi="仿宋_GB2312" w:eastAsia="仿宋_GB2312"/>
          <w:b w:val="0"/>
          <w:sz w:val="32"/>
        </w:rPr>
        <w:t>一、《收入支出决算总表》</w:t>
      </w:r>
    </w:p>
    <w:p w14:paraId="17603CE9">
      <w:pPr>
        <w:spacing w:line="240" w:lineRule="auto"/>
        <w:ind w:firstLine="640"/>
        <w:jc w:val="both"/>
      </w:pPr>
      <w:r>
        <w:rPr>
          <w:rFonts w:ascii="仿宋_GB2312" w:hAnsi="仿宋_GB2312" w:eastAsia="仿宋_GB2312"/>
          <w:b w:val="0"/>
          <w:sz w:val="32"/>
        </w:rPr>
        <w:t>二、《收入决算表》</w:t>
      </w:r>
    </w:p>
    <w:p w14:paraId="4944738A">
      <w:pPr>
        <w:spacing w:line="240" w:lineRule="auto"/>
        <w:ind w:firstLine="640"/>
        <w:jc w:val="both"/>
      </w:pPr>
      <w:r>
        <w:rPr>
          <w:rFonts w:ascii="仿宋_GB2312" w:hAnsi="仿宋_GB2312" w:eastAsia="仿宋_GB2312"/>
          <w:b w:val="0"/>
          <w:sz w:val="32"/>
        </w:rPr>
        <w:t>三、《支出决算表》</w:t>
      </w:r>
    </w:p>
    <w:p w14:paraId="21B7CC64">
      <w:pPr>
        <w:spacing w:line="240" w:lineRule="auto"/>
        <w:ind w:firstLine="640"/>
        <w:jc w:val="both"/>
      </w:pPr>
      <w:r>
        <w:rPr>
          <w:rFonts w:ascii="仿宋_GB2312" w:hAnsi="仿宋_GB2312" w:eastAsia="仿宋_GB2312"/>
          <w:b w:val="0"/>
          <w:sz w:val="32"/>
        </w:rPr>
        <w:t>四、《财政拨款收入支出决算总表》</w:t>
      </w:r>
    </w:p>
    <w:p w14:paraId="75F0AA8B">
      <w:pPr>
        <w:spacing w:line="240" w:lineRule="auto"/>
        <w:ind w:firstLine="640"/>
        <w:jc w:val="both"/>
      </w:pPr>
      <w:r>
        <w:rPr>
          <w:rFonts w:ascii="仿宋_GB2312" w:hAnsi="仿宋_GB2312" w:eastAsia="仿宋_GB2312"/>
          <w:b w:val="0"/>
          <w:sz w:val="32"/>
        </w:rPr>
        <w:t>五、《一般公共预算财政拨款支出决算表》</w:t>
      </w:r>
    </w:p>
    <w:p w14:paraId="28E0915B">
      <w:pPr>
        <w:spacing w:line="240" w:lineRule="auto"/>
        <w:ind w:firstLine="640"/>
        <w:jc w:val="both"/>
      </w:pPr>
      <w:r>
        <w:rPr>
          <w:rFonts w:ascii="仿宋_GB2312" w:hAnsi="仿宋_GB2312" w:eastAsia="仿宋_GB2312"/>
          <w:b w:val="0"/>
          <w:sz w:val="32"/>
        </w:rPr>
        <w:t>六、《一般公共预算财政拨款基本支出决算表》</w:t>
      </w:r>
    </w:p>
    <w:p w14:paraId="4F075297">
      <w:pPr>
        <w:spacing w:line="240" w:lineRule="auto"/>
        <w:ind w:firstLine="640"/>
        <w:jc w:val="both"/>
      </w:pPr>
      <w:r>
        <w:rPr>
          <w:rFonts w:ascii="仿宋_GB2312" w:hAnsi="仿宋_GB2312" w:eastAsia="仿宋_GB2312"/>
          <w:b w:val="0"/>
          <w:sz w:val="32"/>
        </w:rPr>
        <w:t>七、《政府性基金预算财政拨款收入支出决算表》</w:t>
      </w:r>
    </w:p>
    <w:p w14:paraId="65FEEDDF">
      <w:pPr>
        <w:spacing w:line="240" w:lineRule="auto"/>
        <w:ind w:firstLine="640"/>
        <w:jc w:val="both"/>
      </w:pPr>
      <w:r>
        <w:rPr>
          <w:rFonts w:ascii="仿宋_GB2312" w:hAnsi="仿宋_GB2312" w:eastAsia="仿宋_GB2312"/>
          <w:b w:val="0"/>
          <w:sz w:val="32"/>
        </w:rPr>
        <w:t>八、《国有资本经营预算财政拨款收入支出决算表》</w:t>
      </w:r>
    </w:p>
    <w:p w14:paraId="4DBE386D">
      <w:pPr>
        <w:spacing w:line="240" w:lineRule="auto"/>
        <w:ind w:firstLine="640"/>
        <w:jc w:val="both"/>
      </w:pPr>
      <w:r>
        <w:rPr>
          <w:rFonts w:ascii="仿宋_GB2312" w:hAnsi="仿宋_GB2312" w:eastAsia="仿宋_GB2312"/>
          <w:b w:val="0"/>
          <w:sz w:val="32"/>
        </w:rPr>
        <w:t>九、《财政拨款“三公”经费支出决算表》</w:t>
      </w:r>
    </w:p>
    <w:p w14:paraId="2A6242BB">
      <w:pPr>
        <w:spacing w:line="240" w:lineRule="auto"/>
        <w:ind w:firstLine="640"/>
        <w:jc w:val="both"/>
      </w:pPr>
    </w:p>
    <w:p w14:paraId="687EFC6D">
      <w:pPr>
        <w:spacing w:line="240" w:lineRule="auto"/>
        <w:ind w:firstLine="640"/>
        <w:jc w:val="both"/>
      </w:pPr>
    </w:p>
    <w:p w14:paraId="5111CFC4">
      <w:pPr>
        <w:spacing w:line="240" w:lineRule="auto"/>
        <w:ind w:firstLine="640"/>
        <w:jc w:val="both"/>
      </w:pPr>
    </w:p>
    <w:p w14:paraId="4D897DEE">
      <w:pPr>
        <w:spacing w:line="240" w:lineRule="auto"/>
        <w:ind w:firstLine="640"/>
        <w:jc w:val="both"/>
      </w:pPr>
    </w:p>
    <w:p w14:paraId="3E84695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79B01F-09B1-4251-808B-15BE2E2588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3E59B61-68EC-4272-9084-21C70B182DB9}"/>
  </w:font>
  <w:font w:name="仿宋_GB2312">
    <w:altName w:val="仿宋"/>
    <w:panose1 w:val="02010609030101010101"/>
    <w:charset w:val="86"/>
    <w:family w:val="modern"/>
    <w:pitch w:val="default"/>
    <w:sig w:usb0="00000000" w:usb1="00000000" w:usb2="00000000" w:usb3="00000000" w:csb0="00040000" w:csb1="00000000"/>
    <w:embedRegular r:id="rId3" w:fontKey="{FDB4FA39-7A50-4CA7-A306-EB30AF284F8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5BE2D3B2-9D76-4C62-AE29-ABC0F62051DC}"/>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4826F1"/>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CE4574"/>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4306</Words>
  <Characters>4928</Characters>
  <Lines>0</Lines>
  <Paragraphs>0</Paragraphs>
  <TotalTime>3</TotalTime>
  <ScaleCrop>false</ScaleCrop>
  <LinksUpToDate>false</LinksUpToDate>
  <CharactersWithSpaces>4936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2025-11-03T02:59:19Z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