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托里县动物卫生监督所2024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FAF364">
      <w:r>
        <w:br w:type="page"/>
      </w:r>
    </w:p>
    <w:p w14:paraId="38372FCE">
      <w:pPr>
        <w:spacing w:line="640" w:lineRule="exact"/>
        <w:jc w:val="center"/>
        <w:outlineLvl w:val="1"/>
      </w:pPr>
      <w:r>
        <w:rPr>
          <w:rFonts w:ascii="黑体" w:hAnsi="黑体" w:eastAsia="黑体"/>
          <w:sz w:val="32"/>
        </w:rPr>
        <w:t>第一部分 单位概况</w:t>
      </w:r>
    </w:p>
    <w:p w14:paraId="41669F7D">
      <w:pPr>
        <w:spacing w:line="640" w:lineRule="exact"/>
        <w:ind w:firstLine="640"/>
        <w:jc w:val="both"/>
        <w:outlineLvl w:val="2"/>
      </w:pPr>
      <w:r>
        <w:rPr>
          <w:rFonts w:ascii="黑体" w:hAnsi="黑体" w:eastAsia="黑体"/>
          <w:sz w:val="32"/>
        </w:rPr>
        <w:t>一、主要职能</w:t>
      </w:r>
    </w:p>
    <w:p w14:paraId="4753F731">
      <w:pPr>
        <w:spacing w:line="580" w:lineRule="exact"/>
        <w:ind w:firstLine="640"/>
        <w:jc w:val="both"/>
      </w:pPr>
      <w:r>
        <w:rPr>
          <w:rFonts w:ascii="仿宋_GB2312" w:hAnsi="仿宋_GB2312" w:eastAsia="仿宋_GB2312"/>
          <w:sz w:val="32"/>
        </w:rPr>
        <w:t>(1)宣传贯彻、落实《中华人民共和国动物防疫法</w:t>
      </w:r>
      <w:r>
        <w:rPr>
          <w:rFonts w:hint="eastAsia" w:ascii="仿宋_GB2312" w:hAnsi="仿宋_GB2312" w:eastAsia="仿宋_GB2312"/>
          <w:sz w:val="32"/>
          <w:lang w:eastAsia="zh-CN"/>
        </w:rPr>
        <w:t>》《</w:t>
      </w:r>
      <w:r>
        <w:rPr>
          <w:rFonts w:hint="eastAsia" w:ascii="仿宋_GB2312" w:hAnsi="仿宋_GB2312" w:eastAsia="仿宋_GB2312"/>
          <w:sz w:val="32"/>
        </w:rPr>
        <w:t>新疆维吾尔自治区动物防疫条例</w:t>
      </w:r>
      <w:r>
        <w:rPr>
          <w:rFonts w:hint="eastAsia" w:ascii="仿宋_GB2312" w:hAnsi="仿宋_GB2312" w:eastAsia="仿宋_GB2312"/>
          <w:sz w:val="32"/>
          <w:lang w:eastAsia="zh-CN"/>
        </w:rPr>
        <w:t>》《</w:t>
      </w:r>
      <w:r>
        <w:rPr>
          <w:rFonts w:ascii="仿宋_GB2312" w:hAnsi="仿宋_GB2312" w:eastAsia="仿宋_GB2312"/>
          <w:sz w:val="32"/>
        </w:rPr>
        <w:t>重大动物疫情应急条例》等相关的</w:t>
      </w:r>
      <w:r>
        <w:rPr>
          <w:rFonts w:hint="eastAsia" w:ascii="仿宋_GB2312" w:hAnsi="仿宋_GB2312" w:eastAsia="仿宋_GB2312"/>
          <w:sz w:val="32"/>
          <w:lang w:eastAsia="zh-CN"/>
        </w:rPr>
        <w:t>法律法规</w:t>
      </w:r>
      <w:r>
        <w:rPr>
          <w:rFonts w:ascii="仿宋_GB2312" w:hAnsi="仿宋_GB2312" w:eastAsia="仿宋_GB2312"/>
          <w:sz w:val="32"/>
        </w:rPr>
        <w:t>,为保障我县畜牧业健康发展奠定良好的基础。</w:t>
      </w:r>
    </w:p>
    <w:p w14:paraId="43963A06">
      <w:pPr>
        <w:spacing w:line="580" w:lineRule="exact"/>
        <w:ind w:firstLine="640"/>
        <w:jc w:val="both"/>
      </w:pPr>
      <w:r>
        <w:rPr>
          <w:rFonts w:ascii="仿宋_GB2312" w:hAnsi="仿宋_GB2312" w:eastAsia="仿宋_GB2312"/>
          <w:sz w:val="32"/>
        </w:rPr>
        <w:t>(2)依法开展动物防疫执法监督，保证重大动物疫病的防疫密度及防疫覆盖面，严厉打击破坏阻碍防疫工作的不法行为。</w:t>
      </w:r>
    </w:p>
    <w:p w14:paraId="181ADAE7">
      <w:pPr>
        <w:spacing w:line="580" w:lineRule="exact"/>
        <w:ind w:firstLine="640"/>
        <w:jc w:val="both"/>
      </w:pPr>
      <w:r>
        <w:rPr>
          <w:rFonts w:ascii="仿宋_GB2312" w:hAnsi="仿宋_GB2312" w:eastAsia="仿宋_GB2312"/>
          <w:sz w:val="32"/>
        </w:rPr>
        <w:t>(3)依法开展动物及动物产品的检疫监管，保证牲畜及畜产品的产地检疫，屠宰检疫及市场流通领域的安全，保障人民身体健康。</w:t>
      </w:r>
    </w:p>
    <w:p w14:paraId="629DA952">
      <w:pPr>
        <w:spacing w:line="580" w:lineRule="exact"/>
        <w:ind w:firstLine="640"/>
        <w:jc w:val="both"/>
      </w:pPr>
      <w:r>
        <w:rPr>
          <w:rFonts w:ascii="仿宋_GB2312" w:hAnsi="仿宋_GB2312" w:eastAsia="仿宋_GB2312"/>
          <w:sz w:val="32"/>
        </w:rPr>
        <w:t>(4)依法开展兽药，饲料及添加剂市场的执法监管，严厉打击经营假冒伪劣，未通过GMP认证，过期兽药的违法行为。</w:t>
      </w:r>
    </w:p>
    <w:p w14:paraId="29AFB18B">
      <w:pPr>
        <w:spacing w:line="580" w:lineRule="exact"/>
        <w:ind w:firstLine="640"/>
        <w:jc w:val="both"/>
      </w:pPr>
      <w:r>
        <w:rPr>
          <w:rFonts w:ascii="仿宋_GB2312" w:hAnsi="仿宋_GB2312" w:eastAsia="仿宋_GB2312"/>
          <w:sz w:val="32"/>
        </w:rPr>
        <w:t>(5)依法开展动物标识的佩戴和管理工作。完善动物疾病追溯体系建设。</w:t>
      </w:r>
    </w:p>
    <w:p w14:paraId="3F311AB1">
      <w:pPr>
        <w:spacing w:line="640" w:lineRule="exact"/>
        <w:ind w:firstLine="640"/>
        <w:jc w:val="both"/>
        <w:outlineLvl w:val="2"/>
      </w:pPr>
      <w:r>
        <w:rPr>
          <w:rFonts w:ascii="黑体" w:hAnsi="黑体" w:eastAsia="黑体"/>
          <w:sz w:val="32"/>
        </w:rPr>
        <w:t>二、机构设置及人员情况</w:t>
      </w:r>
    </w:p>
    <w:p w14:paraId="19EDE6BA">
      <w:pPr>
        <w:spacing w:line="580" w:lineRule="exact"/>
        <w:ind w:firstLine="640"/>
        <w:jc w:val="both"/>
      </w:pPr>
      <w:r>
        <w:rPr>
          <w:rFonts w:ascii="仿宋_GB2312" w:hAnsi="仿宋_GB2312" w:eastAsia="仿宋_GB2312"/>
          <w:sz w:val="32"/>
        </w:rPr>
        <w:t>托里县动物卫生监督所2024年度，实有人数23人，其中：在职人员13人，减少2人；离休人员0人，增加0人；退休人员10人,增加0人。</w:t>
      </w:r>
    </w:p>
    <w:p w14:paraId="13346614">
      <w:pPr>
        <w:spacing w:line="580" w:lineRule="exact"/>
        <w:ind w:firstLine="640"/>
        <w:jc w:val="both"/>
      </w:pPr>
      <w:r>
        <w:rPr>
          <w:rFonts w:ascii="仿宋_GB2312" w:hAnsi="仿宋_GB2312" w:eastAsia="仿宋_GB2312"/>
          <w:sz w:val="32"/>
        </w:rPr>
        <w:t>托里县动物卫生监督所无下属预算单位，下设3个科室，分别是：办公室、检疫室、监督室。</w:t>
      </w:r>
    </w:p>
    <w:p w14:paraId="11EAA7E9">
      <w:r>
        <w:br w:type="page"/>
      </w:r>
    </w:p>
    <w:p w14:paraId="78607E39">
      <w:pPr>
        <w:spacing w:line="240" w:lineRule="auto"/>
        <w:jc w:val="center"/>
        <w:outlineLvl w:val="1"/>
      </w:pPr>
      <w:r>
        <w:rPr>
          <w:rFonts w:ascii="黑体" w:hAnsi="黑体" w:eastAsia="黑体"/>
          <w:sz w:val="32"/>
        </w:rPr>
        <w:t>第二部分 部门决算情况说明</w:t>
      </w:r>
    </w:p>
    <w:p w14:paraId="26750247">
      <w:pPr>
        <w:spacing w:line="640" w:lineRule="exact"/>
        <w:ind w:firstLine="640"/>
        <w:jc w:val="both"/>
        <w:outlineLvl w:val="2"/>
      </w:pPr>
      <w:r>
        <w:rPr>
          <w:rFonts w:ascii="黑体" w:hAnsi="黑体" w:eastAsia="黑体"/>
          <w:sz w:val="32"/>
        </w:rPr>
        <w:t>一、收入支出决算总体情况说明</w:t>
      </w:r>
    </w:p>
    <w:p w14:paraId="0057645A">
      <w:pPr>
        <w:spacing w:line="580" w:lineRule="exact"/>
        <w:ind w:firstLine="640"/>
        <w:jc w:val="both"/>
      </w:pPr>
      <w:r>
        <w:rPr>
          <w:rFonts w:ascii="仿宋_GB2312" w:hAnsi="仿宋_GB2312" w:eastAsia="仿宋_GB2312"/>
          <w:b/>
          <w:sz w:val="32"/>
        </w:rPr>
        <w:t>2024年度收入总计287.35万元，</w:t>
      </w:r>
      <w:r>
        <w:rPr>
          <w:rFonts w:ascii="仿宋_GB2312" w:hAnsi="仿宋_GB2312" w:eastAsia="仿宋_GB2312"/>
          <w:b w:val="0"/>
          <w:sz w:val="32"/>
        </w:rPr>
        <w:t>其中：本年收入合计287.34万元，使用非财政拨款结余（含专用结余）0.00万元，年初结转和结余0.00万元。</w:t>
      </w:r>
    </w:p>
    <w:p w14:paraId="5B5964F9">
      <w:pPr>
        <w:spacing w:line="580" w:lineRule="exact"/>
        <w:ind w:firstLine="640"/>
        <w:jc w:val="both"/>
      </w:pPr>
      <w:r>
        <w:rPr>
          <w:rFonts w:ascii="仿宋_GB2312" w:hAnsi="仿宋_GB2312" w:eastAsia="仿宋_GB2312"/>
          <w:b/>
          <w:sz w:val="32"/>
        </w:rPr>
        <w:t>2024年度支出总计287.35万元，</w:t>
      </w:r>
      <w:r>
        <w:rPr>
          <w:rFonts w:ascii="仿宋_GB2312" w:hAnsi="仿宋_GB2312" w:eastAsia="仿宋_GB2312"/>
          <w:b w:val="0"/>
          <w:sz w:val="32"/>
        </w:rPr>
        <w:t>其中：本年支出合计287.34万元，结余分配0.00万元，年末结转和结余0.00万元。</w:t>
      </w:r>
    </w:p>
    <w:p w14:paraId="6D55694C">
      <w:pPr>
        <w:spacing w:line="580" w:lineRule="exact"/>
        <w:ind w:firstLine="640"/>
        <w:jc w:val="both"/>
      </w:pPr>
      <w:r>
        <w:rPr>
          <w:rFonts w:ascii="仿宋_GB2312" w:hAnsi="仿宋_GB2312" w:eastAsia="仿宋_GB2312"/>
          <w:b w:val="0"/>
          <w:sz w:val="32"/>
        </w:rPr>
        <w:t>收入支出总体与上年相比，增加37.04万元，增长14.80%，主要原因是：本年在职人员工资调增，社保、公积金基数调增，人员经费增加；本年增加动物防疫补助资金。</w:t>
      </w:r>
    </w:p>
    <w:p w14:paraId="41460EC5">
      <w:pPr>
        <w:spacing w:line="640" w:lineRule="exact"/>
        <w:ind w:firstLine="640"/>
        <w:jc w:val="both"/>
        <w:outlineLvl w:val="2"/>
      </w:pPr>
      <w:r>
        <w:rPr>
          <w:rFonts w:ascii="黑体" w:hAnsi="黑体" w:eastAsia="黑体"/>
          <w:sz w:val="32"/>
        </w:rPr>
        <w:t>二、收入决算情况说明</w:t>
      </w:r>
    </w:p>
    <w:p w14:paraId="1320CB29">
      <w:pPr>
        <w:spacing w:line="580" w:lineRule="exact"/>
        <w:ind w:firstLine="640"/>
        <w:jc w:val="both"/>
      </w:pPr>
      <w:r>
        <w:rPr>
          <w:rFonts w:ascii="仿宋_GB2312" w:hAnsi="仿宋_GB2312" w:eastAsia="仿宋_GB2312"/>
          <w:b/>
          <w:sz w:val="32"/>
        </w:rPr>
        <w:t>本年收入287.34万元，</w:t>
      </w:r>
      <w:r>
        <w:rPr>
          <w:rFonts w:ascii="仿宋_GB2312" w:hAnsi="仿宋_GB2312" w:eastAsia="仿宋_GB2312"/>
          <w:b w:val="0"/>
          <w:sz w:val="32"/>
        </w:rPr>
        <w:t>其中：财政拨款收入287.34万元，占100.00%；上级补助收入0.00万元，占0.00%；事业收入0.00万元，占0.00%；经营收入0.00万元，占0.00%；附属单位上缴收入0.00万元，占0.00%；其他收入0.00万元，占0.00%。</w:t>
      </w:r>
    </w:p>
    <w:p w14:paraId="30130847">
      <w:pPr>
        <w:spacing w:line="640" w:lineRule="exact"/>
        <w:ind w:firstLine="640"/>
        <w:jc w:val="both"/>
        <w:outlineLvl w:val="2"/>
      </w:pPr>
      <w:r>
        <w:rPr>
          <w:rFonts w:ascii="黑体" w:hAnsi="黑体" w:eastAsia="黑体"/>
          <w:sz w:val="32"/>
        </w:rPr>
        <w:t>三、支出决算情况说明</w:t>
      </w:r>
    </w:p>
    <w:p w14:paraId="68213504">
      <w:pPr>
        <w:spacing w:line="580" w:lineRule="exact"/>
        <w:ind w:firstLine="640"/>
        <w:jc w:val="both"/>
      </w:pPr>
      <w:r>
        <w:rPr>
          <w:rFonts w:ascii="仿宋_GB2312" w:hAnsi="仿宋_GB2312" w:eastAsia="仿宋_GB2312"/>
          <w:b/>
          <w:sz w:val="32"/>
        </w:rPr>
        <w:t>本年支出287.34万元，</w:t>
      </w:r>
      <w:r>
        <w:rPr>
          <w:rFonts w:ascii="仿宋_GB2312" w:hAnsi="仿宋_GB2312" w:eastAsia="仿宋_GB2312"/>
          <w:b w:val="0"/>
          <w:sz w:val="32"/>
        </w:rPr>
        <w:t>其中：基本支出282.24万元，占98.23%；项目支出5.10万元，占1.77%；上缴上级支出0.00万元，占0.00%；经营支出0.00万元，占0.00%；对附属单位补助支出0.00万元，占0.00%。</w:t>
      </w:r>
    </w:p>
    <w:p w14:paraId="08F33B53">
      <w:pPr>
        <w:spacing w:line="640" w:lineRule="exact"/>
        <w:ind w:firstLine="640"/>
        <w:jc w:val="both"/>
        <w:outlineLvl w:val="2"/>
      </w:pPr>
      <w:r>
        <w:rPr>
          <w:rFonts w:ascii="黑体" w:hAnsi="黑体" w:eastAsia="黑体"/>
          <w:sz w:val="32"/>
        </w:rPr>
        <w:t>四、财政拨款收入支出决算总体情况说明</w:t>
      </w:r>
    </w:p>
    <w:p w14:paraId="3E6A8DC2">
      <w:pPr>
        <w:spacing w:line="580" w:lineRule="exact"/>
        <w:ind w:firstLine="640"/>
        <w:jc w:val="both"/>
      </w:pPr>
      <w:r>
        <w:rPr>
          <w:rFonts w:ascii="仿宋_GB2312" w:hAnsi="仿宋_GB2312" w:eastAsia="仿宋_GB2312"/>
          <w:b/>
          <w:sz w:val="32"/>
        </w:rPr>
        <w:t>2024年度财政拨款收入总计287.34万元，</w:t>
      </w:r>
      <w:r>
        <w:rPr>
          <w:rFonts w:ascii="仿宋_GB2312" w:hAnsi="仿宋_GB2312" w:eastAsia="仿宋_GB2312"/>
          <w:b w:val="0"/>
          <w:sz w:val="32"/>
        </w:rPr>
        <w:t>其中：年初财政拨款结转和结余0.00万元，本年财政拨款收入287.34万元。</w:t>
      </w:r>
      <w:r>
        <w:rPr>
          <w:rFonts w:ascii="仿宋_GB2312" w:hAnsi="仿宋_GB2312" w:eastAsia="仿宋_GB2312"/>
          <w:b/>
          <w:sz w:val="32"/>
        </w:rPr>
        <w:t>财政拨款支出总计287.34万元，</w:t>
      </w:r>
      <w:r>
        <w:rPr>
          <w:rFonts w:ascii="仿宋_GB2312" w:hAnsi="仿宋_GB2312" w:eastAsia="仿宋_GB2312"/>
          <w:b w:val="0"/>
          <w:sz w:val="32"/>
        </w:rPr>
        <w:t>其中：年末财政拨款结转和结余0.00万元，本年财政拨款支出287.34万元。</w:t>
      </w:r>
    </w:p>
    <w:p w14:paraId="32617DA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增加37.03万元，增长14.79%，主要原因是：本年在职人员工资调增，社保、公积金基数调增，人员经费增加；本年增加动物防疫补助资金。</w:t>
      </w:r>
      <w:r>
        <w:rPr>
          <w:rFonts w:ascii="仿宋_GB2312" w:hAnsi="仿宋_GB2312" w:eastAsia="仿宋_GB2312"/>
          <w:b/>
          <w:sz w:val="32"/>
        </w:rPr>
        <w:t>与年初预算相比，</w:t>
      </w:r>
      <w:r>
        <w:rPr>
          <w:rFonts w:ascii="仿宋_GB2312" w:hAnsi="仿宋_GB2312" w:eastAsia="仿宋_GB2312"/>
          <w:b w:val="0"/>
          <w:sz w:val="32"/>
        </w:rPr>
        <w:t>年初预算数283.54万元，决算数287.34万元，预决算差异率1.34%，主要原因是：年中追加人员工资、社保、公积金基数调增部分资金，导致预决算存在差异。</w:t>
      </w:r>
    </w:p>
    <w:p w14:paraId="57E4E273">
      <w:pPr>
        <w:spacing w:line="640" w:lineRule="exact"/>
        <w:ind w:firstLine="640"/>
        <w:jc w:val="both"/>
        <w:outlineLvl w:val="2"/>
      </w:pPr>
      <w:r>
        <w:rPr>
          <w:rFonts w:ascii="黑体" w:hAnsi="黑体" w:eastAsia="黑体"/>
          <w:sz w:val="32"/>
        </w:rPr>
        <w:t>五、一般公共预算财政拨款支出决算情况说明</w:t>
      </w:r>
    </w:p>
    <w:p w14:paraId="185F4098">
      <w:pPr>
        <w:spacing w:line="640" w:lineRule="exact"/>
        <w:ind w:firstLine="640"/>
        <w:jc w:val="both"/>
        <w:outlineLvl w:val="3"/>
      </w:pPr>
      <w:r>
        <w:rPr>
          <w:rFonts w:ascii="楷体_GB2312" w:hAnsi="楷体_GB2312" w:eastAsia="楷体_GB2312"/>
          <w:b/>
          <w:sz w:val="32"/>
        </w:rPr>
        <w:t>（一）一般公共预算财政拨款支出决算总体情况</w:t>
      </w:r>
    </w:p>
    <w:p w14:paraId="1B854AD5">
      <w:pPr>
        <w:spacing w:line="580" w:lineRule="exact"/>
        <w:ind w:firstLine="640"/>
        <w:jc w:val="both"/>
      </w:pPr>
      <w:r>
        <w:rPr>
          <w:rFonts w:ascii="仿宋_GB2312" w:hAnsi="仿宋_GB2312" w:eastAsia="仿宋_GB2312"/>
          <w:b/>
          <w:sz w:val="32"/>
        </w:rPr>
        <w:t>2024年度一般公共预算财政拨款支出287.34万元，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增加37.03万元，增长14.79%，主要原因是：本年在职人员工资调增，社保、公积金基数调增，人员经费增加；本年增加动物防疫补助资金。</w:t>
      </w:r>
      <w:r>
        <w:rPr>
          <w:rFonts w:ascii="仿宋_GB2312" w:hAnsi="仿宋_GB2312" w:eastAsia="仿宋_GB2312"/>
          <w:b/>
          <w:sz w:val="32"/>
        </w:rPr>
        <w:t>与年初预算相比,</w:t>
      </w:r>
      <w:r>
        <w:rPr>
          <w:rFonts w:ascii="仿宋_GB2312" w:hAnsi="仿宋_GB2312" w:eastAsia="仿宋_GB2312"/>
          <w:b w:val="0"/>
          <w:sz w:val="32"/>
        </w:rPr>
        <w:t>年初预算数283.54万元，决算数287.34万元，预决算差异率1.34%，主要原因是：年中追加人员工资、社保、公积金基数调增部分资金，导致预决算存在差异。</w:t>
      </w:r>
    </w:p>
    <w:p w14:paraId="42603004">
      <w:pPr>
        <w:spacing w:line="640" w:lineRule="exact"/>
        <w:ind w:firstLine="640"/>
        <w:jc w:val="both"/>
        <w:outlineLvl w:val="3"/>
      </w:pPr>
      <w:r>
        <w:rPr>
          <w:rFonts w:ascii="楷体_GB2312" w:hAnsi="楷体_GB2312" w:eastAsia="楷体_GB2312"/>
          <w:b/>
          <w:sz w:val="32"/>
        </w:rPr>
        <w:t>（二）一般公共预算财政拨款支出决算结构情况</w:t>
      </w:r>
    </w:p>
    <w:p w14:paraId="2200187E">
      <w:pPr>
        <w:spacing w:line="580" w:lineRule="exact"/>
        <w:ind w:firstLine="640"/>
        <w:jc w:val="both"/>
      </w:pPr>
      <w:r>
        <w:rPr>
          <w:rFonts w:ascii="仿宋_GB2312" w:hAnsi="仿宋_GB2312" w:eastAsia="仿宋_GB2312"/>
          <w:b w:val="0"/>
          <w:sz w:val="32"/>
        </w:rPr>
        <w:t>1.社会保障和就业支出(类)32.45万元,占11.29%。</w:t>
      </w:r>
    </w:p>
    <w:p w14:paraId="0496F7A7">
      <w:pPr>
        <w:spacing w:line="580" w:lineRule="exact"/>
        <w:ind w:firstLine="640"/>
        <w:jc w:val="both"/>
      </w:pPr>
      <w:r>
        <w:rPr>
          <w:rFonts w:ascii="仿宋_GB2312" w:hAnsi="仿宋_GB2312" w:eastAsia="仿宋_GB2312"/>
          <w:b w:val="0"/>
          <w:sz w:val="32"/>
        </w:rPr>
        <w:t>2.卫生健康支出(类)15.35万元,占5.34%。</w:t>
      </w:r>
    </w:p>
    <w:p w14:paraId="205039D3">
      <w:pPr>
        <w:spacing w:line="580" w:lineRule="exact"/>
        <w:ind w:firstLine="640"/>
        <w:jc w:val="both"/>
      </w:pPr>
      <w:r>
        <w:rPr>
          <w:rFonts w:ascii="仿宋_GB2312" w:hAnsi="仿宋_GB2312" w:eastAsia="仿宋_GB2312"/>
          <w:b w:val="0"/>
          <w:sz w:val="32"/>
        </w:rPr>
        <w:t>3.农林水支出(类)218.45万元,占76.02%。</w:t>
      </w:r>
    </w:p>
    <w:p w14:paraId="65EE61CF">
      <w:pPr>
        <w:spacing w:line="580" w:lineRule="exact"/>
        <w:ind w:firstLine="640"/>
        <w:jc w:val="both"/>
      </w:pPr>
      <w:r>
        <w:rPr>
          <w:rFonts w:ascii="仿宋_GB2312" w:hAnsi="仿宋_GB2312" w:eastAsia="仿宋_GB2312"/>
          <w:b w:val="0"/>
          <w:sz w:val="32"/>
        </w:rPr>
        <w:t>4.住房保障支出(类)21.09万元,占7.34%。</w:t>
      </w:r>
    </w:p>
    <w:p w14:paraId="3C89E13A">
      <w:pPr>
        <w:spacing w:line="640" w:lineRule="exact"/>
        <w:ind w:firstLine="640"/>
        <w:jc w:val="both"/>
        <w:outlineLvl w:val="3"/>
      </w:pPr>
      <w:r>
        <w:rPr>
          <w:rFonts w:ascii="楷体_GB2312" w:hAnsi="楷体_GB2312" w:eastAsia="楷体_GB2312"/>
          <w:b/>
          <w:sz w:val="32"/>
        </w:rPr>
        <w:t>（三）一般公共预算财政拨款支出决算具体情况</w:t>
      </w:r>
    </w:p>
    <w:p w14:paraId="0FD60612">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1.社会保障和就业支出(类)行政事业单位养老支出(款)行政单位离退休(项):支出决算数为7.46万元，比上年决算增加1.94万元，增长35.14%,主要原因是：本年增加退休人员基础绩效奖，退休费支出增加。</w:t>
      </w:r>
    </w:p>
    <w:p w14:paraId="387CAE8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24.99万元，比上年决算增加2.53万元，增长11.26%,主要原因是：本年在职人员工资基数调增，养老缴费基数上涨，相应支出增加。</w:t>
      </w:r>
    </w:p>
    <w:p w14:paraId="182891E9">
      <w:pPr>
        <w:spacing w:line="580" w:lineRule="exact"/>
        <w:ind w:firstLine="640"/>
        <w:jc w:val="both"/>
      </w:pPr>
      <w:r>
        <w:rPr>
          <w:rFonts w:ascii="仿宋_GB2312" w:hAnsi="仿宋_GB2312" w:eastAsia="仿宋_GB2312"/>
          <w:b w:val="0"/>
          <w:sz w:val="32"/>
        </w:rPr>
        <w:t>3.卫生健康支出(类)行政事业单位医疗(款)行政单位医疗(项):支出决算数为10.43万元，比上年决算增加0.29万元，增长2.86%,主要原因是：本年在职人员工资基数调增，医疗缴费基数上涨，相应支出增加。</w:t>
      </w:r>
    </w:p>
    <w:p w14:paraId="75EB59E1">
      <w:pPr>
        <w:spacing w:line="580" w:lineRule="exact"/>
        <w:ind w:firstLine="640"/>
        <w:jc w:val="both"/>
      </w:pPr>
      <w:r>
        <w:rPr>
          <w:rFonts w:ascii="仿宋_GB2312" w:hAnsi="仿宋_GB2312" w:eastAsia="仿宋_GB2312"/>
          <w:b w:val="0"/>
          <w:sz w:val="32"/>
        </w:rPr>
        <w:t>4.卫生健康支出(类)行政事业单位医疗(款)公务员医疗补助(项):支出决算数为4.92万元，比上年决算增加0.13万元，增长2.71%,主要原因是：本年在职人员工资基数调增，医疗缴费基数上涨，相应支出增加。</w:t>
      </w:r>
    </w:p>
    <w:p w14:paraId="32CC5AD5">
      <w:pPr>
        <w:spacing w:line="580" w:lineRule="exact"/>
        <w:ind w:firstLine="640"/>
        <w:jc w:val="both"/>
      </w:pPr>
      <w:r>
        <w:rPr>
          <w:rFonts w:ascii="仿宋_GB2312" w:hAnsi="仿宋_GB2312" w:eastAsia="仿宋_GB2312"/>
          <w:b w:val="0"/>
          <w:sz w:val="32"/>
        </w:rPr>
        <w:t>5.农林水支出(类)农业农村(款)行政运行(项):支出决算数为213.35万元，比上年决算增加27.87万元，增长15.03%,主要原因是：本年在职人员工资调增，导致相关人员经费较上年有所增加。</w:t>
      </w:r>
    </w:p>
    <w:p w14:paraId="4097B2BC">
      <w:pPr>
        <w:spacing w:line="580" w:lineRule="exact"/>
        <w:ind w:firstLine="640"/>
        <w:jc w:val="both"/>
      </w:pPr>
      <w:r>
        <w:rPr>
          <w:rFonts w:ascii="仿宋_GB2312" w:hAnsi="仿宋_GB2312" w:eastAsia="仿宋_GB2312"/>
          <w:b w:val="0"/>
          <w:sz w:val="32"/>
        </w:rPr>
        <w:t>6.农林水支出(类)农业农村(款)病虫害控制(项):支出决算数为5.10万元，比上年决算增加1.50万元，增长41.67%,主要原因是：本年增加动物防疫补助资金。</w:t>
      </w:r>
    </w:p>
    <w:p w14:paraId="0C76311F">
      <w:pPr>
        <w:spacing w:line="580" w:lineRule="exact"/>
        <w:ind w:firstLine="640"/>
        <w:jc w:val="both"/>
      </w:pPr>
      <w:r>
        <w:rPr>
          <w:rFonts w:ascii="仿宋_GB2312" w:hAnsi="仿宋_GB2312" w:eastAsia="仿宋_GB2312"/>
          <w:b w:val="0"/>
          <w:sz w:val="32"/>
        </w:rPr>
        <w:t>7.住房保障支出(类)住房改革支出(款)住房公积金(项):支出决算数为21.09万元，比上年决算增加2.78万元，增长15.18%,主要原因是：本年在职人员工资基数调增，公积金缴费基数上涨，相应支出增加。</w:t>
      </w:r>
    </w:p>
    <w:p w14:paraId="0A46BC69">
      <w:pPr>
        <w:spacing w:line="640" w:lineRule="exact"/>
        <w:ind w:firstLine="640"/>
        <w:jc w:val="both"/>
        <w:outlineLvl w:val="2"/>
      </w:pPr>
      <w:r>
        <w:rPr>
          <w:rFonts w:ascii="黑体" w:hAnsi="黑体" w:eastAsia="黑体"/>
          <w:sz w:val="32"/>
        </w:rPr>
        <w:t>六、一般公共预算财政拨款基本支出决算情况说明</w:t>
      </w:r>
    </w:p>
    <w:p w14:paraId="79FC8670">
      <w:pPr>
        <w:spacing w:line="580" w:lineRule="exact"/>
        <w:ind w:firstLine="640"/>
        <w:jc w:val="both"/>
      </w:pPr>
      <w:r>
        <w:rPr>
          <w:rFonts w:ascii="仿宋_GB2312" w:hAnsi="仿宋_GB2312" w:eastAsia="仿宋_GB2312"/>
          <w:b w:val="0"/>
          <w:sz w:val="32"/>
        </w:rPr>
        <w:t>2024年度一般公共预算财政拨款基本支出282.24万元，其中：</w:t>
      </w:r>
      <w:r>
        <w:rPr>
          <w:rFonts w:ascii="仿宋_GB2312" w:hAnsi="仿宋_GB2312" w:eastAsia="仿宋_GB2312"/>
          <w:b/>
          <w:sz w:val="32"/>
        </w:rPr>
        <w:t>人员经费276.47万元，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w:t>
      </w:r>
    </w:p>
    <w:p w14:paraId="0AA8EAF3">
      <w:pPr>
        <w:spacing w:line="580" w:lineRule="exact"/>
        <w:ind w:firstLine="640"/>
        <w:jc w:val="both"/>
      </w:pPr>
      <w:r>
        <w:rPr>
          <w:rFonts w:ascii="仿宋_GB2312" w:hAnsi="仿宋_GB2312" w:eastAsia="仿宋_GB2312"/>
          <w:b/>
          <w:sz w:val="32"/>
        </w:rPr>
        <w:t>公用经费5.78万元，</w:t>
      </w:r>
      <w:r>
        <w:rPr>
          <w:rFonts w:ascii="仿宋_GB2312" w:hAnsi="仿宋_GB2312" w:eastAsia="仿宋_GB2312"/>
          <w:b w:val="0"/>
          <w:sz w:val="32"/>
        </w:rPr>
        <w:t>包括：办公费、手续费、邮电费、取暖费、差旅费、工会经费、公务用车运行维护费。</w:t>
      </w:r>
    </w:p>
    <w:p w14:paraId="63510F78">
      <w:pPr>
        <w:spacing w:line="640" w:lineRule="exact"/>
        <w:ind w:firstLine="640"/>
        <w:jc w:val="both"/>
        <w:outlineLvl w:val="2"/>
      </w:pPr>
      <w:r>
        <w:rPr>
          <w:rFonts w:ascii="黑体" w:hAnsi="黑体" w:eastAsia="黑体"/>
          <w:sz w:val="32"/>
        </w:rPr>
        <w:t>七、政府性基金预算财政拨款收入支出决算情况说明</w:t>
      </w:r>
    </w:p>
    <w:p w14:paraId="3FC3026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B6B340A">
      <w:pPr>
        <w:spacing w:line="640" w:lineRule="exact"/>
        <w:ind w:firstLine="640"/>
        <w:jc w:val="both"/>
        <w:outlineLvl w:val="2"/>
      </w:pPr>
      <w:r>
        <w:rPr>
          <w:rFonts w:ascii="黑体" w:hAnsi="黑体" w:eastAsia="黑体"/>
          <w:sz w:val="32"/>
        </w:rPr>
        <w:t>八、国有资本经营预算财政拨款收入支出决算情况说明</w:t>
      </w:r>
    </w:p>
    <w:p w14:paraId="32E73B2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18F5CF1">
      <w:pPr>
        <w:spacing w:line="640" w:lineRule="exact"/>
        <w:ind w:firstLine="640"/>
        <w:jc w:val="both"/>
        <w:outlineLvl w:val="2"/>
      </w:pPr>
      <w:r>
        <w:rPr>
          <w:rFonts w:ascii="黑体" w:hAnsi="黑体" w:eastAsia="黑体"/>
          <w:sz w:val="32"/>
        </w:rPr>
        <w:t>九、财政拨款“三公”经费支出决算情况说明</w:t>
      </w:r>
    </w:p>
    <w:p w14:paraId="10ECB649">
      <w:pPr>
        <w:spacing w:line="580" w:lineRule="exact"/>
        <w:ind w:firstLine="640"/>
        <w:jc w:val="both"/>
      </w:pPr>
      <w:r>
        <w:rPr>
          <w:rFonts w:ascii="仿宋_GB2312" w:hAnsi="仿宋_GB2312" w:eastAsia="仿宋_GB2312"/>
          <w:b/>
          <w:sz w:val="32"/>
        </w:rPr>
        <w:t>2024年度财政拨款“三公”经费支出0.62万元，</w:t>
      </w:r>
      <w:r>
        <w:rPr>
          <w:rFonts w:ascii="仿宋_GB2312" w:hAnsi="仿宋_GB2312" w:eastAsia="仿宋_GB2312"/>
          <w:b w:val="0"/>
          <w:sz w:val="32"/>
        </w:rPr>
        <w:t>比上年减少0.01万元，下降1.59%，主要原因是：严格落实中央八项规定精神，厉行节约，减少公务接待费。其中：因公出国（境）费支出0.00万元，占0.00%，比上年增加0.00万元，增长0.00%，主要原因是：2023年与2024年均未安排因公出国（境）费支出。公务用车购置及运行维护费支出0.62万元，占100.00%，比上年增加0.03万元，增长5.08%，主要原因是：本年业务量大，下乡次数增加，车辆燃油费增加。公务接待费支出0.00万元，占0.00%，比上年减少0.04万元，下降100.00%，主要原因是：严格落实中央八项规定精神，厉行节约，减少公务接待费。</w:t>
      </w:r>
    </w:p>
    <w:p w14:paraId="07C7F50B">
      <w:pPr>
        <w:spacing w:line="580" w:lineRule="exact"/>
        <w:ind w:firstLine="640"/>
        <w:jc w:val="both"/>
      </w:pPr>
      <w:r>
        <w:rPr>
          <w:rFonts w:ascii="仿宋_GB2312" w:hAnsi="仿宋_GB2312" w:eastAsia="仿宋_GB2312"/>
          <w:b/>
          <w:sz w:val="32"/>
        </w:rPr>
        <w:t>具体情况如下：</w:t>
      </w:r>
    </w:p>
    <w:p w14:paraId="2D5ADD1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658E273">
      <w:pPr>
        <w:spacing w:line="580" w:lineRule="exact"/>
        <w:ind w:firstLine="640"/>
        <w:jc w:val="both"/>
      </w:pPr>
      <w:r>
        <w:rPr>
          <w:rFonts w:ascii="仿宋_GB2312" w:hAnsi="仿宋_GB2312" w:eastAsia="仿宋_GB2312"/>
          <w:b w:val="0"/>
          <w:sz w:val="32"/>
        </w:rPr>
        <w:t>公务用车购置及运行维护费0.62万元，其中：公务用车购置费0.00万元，公务用车运行维护费0.62万元。公务用车运行维护费开支内容包括车辆加油费，车辆审车费。公务用车购置数0辆，公务用车保有量1辆。国有资产占用情况中固定资产车辆1辆，与公务用车保有量差异原因是：本单位固定资产车辆与公务用车保有量一致无差异。</w:t>
      </w:r>
    </w:p>
    <w:p w14:paraId="6ACA819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D2EE47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0.62万元，决算数0.62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0.62万元，决算数0.62万元，预决算差异率0.00%，主要原因是：严格按照预算执行，预决算无差异。公务接待费全年预算数0.00万元，决算数0.00万元，预决算差异率0.00%，主要原因是：本单位无公务接待费。</w:t>
      </w:r>
    </w:p>
    <w:p w14:paraId="351CB20C">
      <w:pPr>
        <w:spacing w:line="640" w:lineRule="exact"/>
        <w:ind w:firstLine="640"/>
        <w:jc w:val="both"/>
        <w:outlineLvl w:val="2"/>
      </w:pPr>
      <w:r>
        <w:rPr>
          <w:rFonts w:ascii="黑体" w:hAnsi="黑体" w:eastAsia="黑体"/>
          <w:sz w:val="32"/>
        </w:rPr>
        <w:t>十、其他重要事项的情况说明</w:t>
      </w:r>
    </w:p>
    <w:p w14:paraId="03F526D8">
      <w:pPr>
        <w:spacing w:line="640" w:lineRule="exact"/>
        <w:ind w:firstLine="640"/>
        <w:jc w:val="both"/>
        <w:outlineLvl w:val="3"/>
      </w:pPr>
      <w:r>
        <w:rPr>
          <w:rFonts w:ascii="楷体_GB2312" w:hAnsi="楷体_GB2312" w:eastAsia="楷体_GB2312"/>
          <w:b/>
          <w:sz w:val="32"/>
        </w:rPr>
        <w:t>（一）机关运行经费及公用经费支出情况</w:t>
      </w:r>
    </w:p>
    <w:p w14:paraId="350454B0">
      <w:pPr>
        <w:spacing w:line="580" w:lineRule="exact"/>
        <w:ind w:firstLine="640"/>
        <w:jc w:val="both"/>
      </w:pPr>
      <w:r>
        <w:rPr>
          <w:rFonts w:ascii="仿宋_GB2312" w:hAnsi="仿宋_GB2312" w:eastAsia="仿宋_GB2312"/>
          <w:b w:val="0"/>
          <w:sz w:val="32"/>
        </w:rPr>
        <w:t>2024年度托里县动物卫生监督所（行政单位和参照公务员法管理事业单位）机关运行经费支出5.78万元，比上年增加0.83万元，增长16.77%，主要原因是：本年支付邮电费，差旅费，手续费，导致机关运行经费较上年增加。</w:t>
      </w:r>
    </w:p>
    <w:p w14:paraId="6CB057FA">
      <w:pPr>
        <w:spacing w:line="640" w:lineRule="exact"/>
        <w:ind w:firstLine="640"/>
        <w:jc w:val="both"/>
        <w:outlineLvl w:val="3"/>
      </w:pPr>
      <w:r>
        <w:rPr>
          <w:rFonts w:ascii="楷体_GB2312" w:hAnsi="楷体_GB2312" w:eastAsia="楷体_GB2312"/>
          <w:b/>
          <w:sz w:val="32"/>
        </w:rPr>
        <w:t>（二）政府采购情况</w:t>
      </w:r>
    </w:p>
    <w:p w14:paraId="26222BB8">
      <w:pPr>
        <w:spacing w:line="580" w:lineRule="exact"/>
        <w:ind w:firstLine="640"/>
        <w:jc w:val="both"/>
      </w:pPr>
      <w:r>
        <w:rPr>
          <w:rFonts w:ascii="仿宋_GB2312" w:hAnsi="仿宋_GB2312" w:eastAsia="仿宋_GB2312"/>
          <w:b w:val="0"/>
          <w:sz w:val="32"/>
        </w:rPr>
        <w:t>2024年度政府采购支出总额7.28万元，其中：政府采购货物支出6.78万元、政府采购工程支出0.00万元、政府采购服务支出0.50万元。</w:t>
      </w:r>
    </w:p>
    <w:p w14:paraId="6D20C896">
      <w:pPr>
        <w:spacing w:line="580" w:lineRule="exact"/>
        <w:ind w:firstLine="640"/>
        <w:jc w:val="both"/>
      </w:pPr>
      <w:r>
        <w:rPr>
          <w:rFonts w:ascii="仿宋_GB2312" w:hAnsi="仿宋_GB2312" w:eastAsia="仿宋_GB2312"/>
          <w:b w:val="0"/>
          <w:sz w:val="32"/>
        </w:rPr>
        <w:t>授予中小企业合同金额7.28万元，占政府采购支出总额的100.00%，其中：授予小微企业合同金额7.28万元，占政府采购支出总额的100.00%。</w:t>
      </w:r>
    </w:p>
    <w:p w14:paraId="3374DB2C">
      <w:pPr>
        <w:spacing w:line="640" w:lineRule="exact"/>
        <w:ind w:firstLine="640"/>
        <w:jc w:val="both"/>
        <w:outlineLvl w:val="3"/>
      </w:pPr>
      <w:r>
        <w:rPr>
          <w:rFonts w:ascii="楷体_GB2312" w:hAnsi="楷体_GB2312" w:eastAsia="楷体_GB2312"/>
          <w:b/>
          <w:sz w:val="32"/>
        </w:rPr>
        <w:t>（三）国有资产占用情况说明</w:t>
      </w:r>
    </w:p>
    <w:p w14:paraId="552CE493">
      <w:pPr>
        <w:spacing w:line="580" w:lineRule="exact"/>
        <w:ind w:firstLine="640"/>
        <w:jc w:val="both"/>
      </w:pPr>
      <w:r>
        <w:rPr>
          <w:rFonts w:ascii="仿宋_GB2312" w:hAnsi="仿宋_GB2312" w:eastAsia="仿宋_GB2312"/>
          <w:b w:val="0"/>
          <w:sz w:val="32"/>
        </w:rPr>
        <w:t>截至2024年12月31日，房屋0.00平方米，价值0.00万元。车辆1辆，价值15.81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A2E58C6">
      <w:pPr>
        <w:spacing w:line="640" w:lineRule="exact"/>
        <w:ind w:firstLine="640"/>
        <w:jc w:val="both"/>
        <w:outlineLvl w:val="2"/>
      </w:pPr>
      <w:r>
        <w:rPr>
          <w:rFonts w:ascii="黑体" w:hAnsi="黑体" w:eastAsia="黑体"/>
          <w:sz w:val="32"/>
        </w:rPr>
        <w:t>十一、预算绩效的情况说明</w:t>
      </w:r>
    </w:p>
    <w:p w14:paraId="06EEF61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287.34万元，实际执行总额287.34万元；预算绩效评价项目1个，全年预算数5.10万元，全年执行数5.10万元。预算绩效管理取得的成效：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项目细化管理工作不足。各项资金的使用没有做到细致的预算，造成项目遇到各种不确定因素，财政资金无法发挥最大使用效益。下一步改进措施：一是加强相关绩效管理方面专业知识的系统性学习。各项指标的设置要进一步优化、完善，主要在细化、量化上改进。在绩效自评过程中，培训人员</w:t>
      </w:r>
      <w:r>
        <w:rPr>
          <w:rFonts w:hint="eastAsia" w:ascii="仿宋_GB2312" w:hAnsi="仿宋_GB2312" w:eastAsia="仿宋_GB2312"/>
          <w:b w:val="0"/>
          <w:sz w:val="32"/>
          <w:lang w:eastAsia="zh-CN"/>
        </w:rPr>
        <w:t>缺乏</w:t>
      </w:r>
      <w:r>
        <w:rPr>
          <w:rFonts w:ascii="仿宋_GB2312" w:hAnsi="仿宋_GB2312" w:eastAsia="仿宋_GB2312"/>
          <w:b w:val="0"/>
          <w:sz w:val="32"/>
        </w:rPr>
        <w:t>相关绩效管理专业知识，影响评价质量；二是</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绩效工作人员流动频繁，要加强工作衔接。具体附整体支出绩效自评表，项目支出绩效自评表和评价报告。</w:t>
      </w:r>
    </w:p>
    <w:p w14:paraId="51104D3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CA57B9F">
        <w:tblPrEx>
          <w:tblCellMar>
            <w:top w:w="0" w:type="dxa"/>
            <w:left w:w="108" w:type="dxa"/>
            <w:bottom w:w="0" w:type="dxa"/>
            <w:right w:w="108" w:type="dxa"/>
          </w:tblCellMar>
        </w:tblPrEx>
        <w:tc>
          <w:tcPr>
            <w:tcW w:w="8840" w:type="dxa"/>
            <w:gridSpan w:val="8"/>
            <w:vAlign w:val="center"/>
          </w:tcPr>
          <w:p w14:paraId="74EEA4CA">
            <w:pPr>
              <w:jc w:val="center"/>
            </w:pPr>
            <w:r>
              <w:rPr>
                <w:rFonts w:ascii="宋体" w:hAnsi="宋体" w:eastAsia="宋体"/>
                <w:sz w:val="24"/>
              </w:rPr>
              <w:t>单位整体支出绩效自评表</w:t>
            </w:r>
          </w:p>
        </w:tc>
      </w:tr>
      <w:tr w14:paraId="39A6F64F">
        <w:tblPrEx>
          <w:tblCellMar>
            <w:top w:w="0" w:type="dxa"/>
            <w:left w:w="108" w:type="dxa"/>
            <w:bottom w:w="0" w:type="dxa"/>
            <w:right w:w="108" w:type="dxa"/>
          </w:tblCellMar>
        </w:tblPrEx>
        <w:tc>
          <w:tcPr>
            <w:tcW w:w="8840" w:type="dxa"/>
            <w:gridSpan w:val="8"/>
            <w:vAlign w:val="center"/>
          </w:tcPr>
          <w:p w14:paraId="67D42892">
            <w:pPr>
              <w:jc w:val="center"/>
            </w:pPr>
            <w:r>
              <w:rPr>
                <w:rFonts w:ascii="宋体" w:hAnsi="宋体" w:eastAsia="宋体"/>
                <w:sz w:val="24"/>
              </w:rPr>
              <w:t>（2024年度）</w:t>
            </w:r>
          </w:p>
        </w:tc>
      </w:tr>
      <w:tr w14:paraId="1232F14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51CE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144BE5">
            <w:pPr>
              <w:jc w:val="center"/>
            </w:pPr>
            <w:r>
              <w:rPr>
                <w:rFonts w:ascii="宋体" w:hAnsi="宋体" w:eastAsia="宋体"/>
                <w:sz w:val="16"/>
              </w:rPr>
              <w:t>托里县动物卫生监督所</w:t>
            </w:r>
          </w:p>
        </w:tc>
      </w:tr>
      <w:tr w14:paraId="2D3487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8FE7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6B2D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9AFF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83907">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6650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7BF9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FF71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9805B">
            <w:pPr>
              <w:jc w:val="center"/>
            </w:pPr>
            <w:r>
              <w:rPr>
                <w:rFonts w:ascii="宋体" w:hAnsi="宋体" w:eastAsia="宋体"/>
                <w:sz w:val="16"/>
              </w:rPr>
              <w:t>得分</w:t>
            </w:r>
          </w:p>
        </w:tc>
      </w:tr>
      <w:tr w14:paraId="5877F4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5D4E7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1CE2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1B0D7">
            <w:pPr>
              <w:jc w:val="center"/>
            </w:pPr>
            <w:r>
              <w:rPr>
                <w:rFonts w:ascii="宋体" w:hAnsi="宋体" w:eastAsia="宋体"/>
                <w:sz w:val="16"/>
              </w:rPr>
              <w:t>283.54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B9052">
            <w:pPr>
              <w:jc w:val="center"/>
            </w:pPr>
            <w:r>
              <w:rPr>
                <w:rFonts w:ascii="宋体" w:hAnsi="宋体" w:eastAsia="宋体"/>
                <w:sz w:val="16"/>
              </w:rPr>
              <w:t>287.34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D4075">
            <w:pPr>
              <w:jc w:val="center"/>
            </w:pPr>
            <w:r>
              <w:rPr>
                <w:rFonts w:ascii="宋体" w:hAnsi="宋体" w:eastAsia="宋体"/>
                <w:sz w:val="16"/>
              </w:rPr>
              <w:t>287.34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02A0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71DFB">
            <w:pPr>
              <w:jc w:val="center"/>
            </w:pPr>
            <w:r>
              <w:rPr>
                <w:rFonts w:ascii="宋体" w:hAnsi="宋体" w:eastAsia="宋体"/>
                <w:sz w:val="16"/>
              </w:rPr>
              <w:t>99.23%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D2D6A">
            <w:pPr>
              <w:jc w:val="center"/>
            </w:pPr>
            <w:r>
              <w:rPr>
                <w:rFonts w:ascii="宋体" w:hAnsi="宋体" w:eastAsia="宋体"/>
                <w:sz w:val="16"/>
              </w:rPr>
              <w:t>9.92</w:t>
            </w:r>
          </w:p>
        </w:tc>
      </w:tr>
      <w:tr w14:paraId="17A3D0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1E62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A960F">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81690">
            <w:pPr>
              <w:jc w:val="center"/>
            </w:pPr>
            <w:r>
              <w:rPr>
                <w:rFonts w:ascii="宋体" w:hAnsi="宋体" w:eastAsia="宋体"/>
                <w:sz w:val="16"/>
              </w:rPr>
              <w:t>5.10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EE1EA">
            <w:pPr>
              <w:jc w:val="center"/>
            </w:pPr>
            <w:r>
              <w:rPr>
                <w:rFonts w:ascii="宋体" w:hAnsi="宋体" w:eastAsia="宋体"/>
                <w:sz w:val="16"/>
              </w:rPr>
              <w:t>5.10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17235">
            <w:pPr>
              <w:jc w:val="center"/>
            </w:pPr>
            <w:r>
              <w:rPr>
                <w:rFonts w:ascii="宋体" w:hAnsi="宋体" w:eastAsia="宋体"/>
                <w:sz w:val="16"/>
              </w:rPr>
              <w:t>5.10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762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8A4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68B8C">
            <w:pPr>
              <w:jc w:val="center"/>
            </w:pPr>
            <w:r>
              <w:rPr>
                <w:rFonts w:ascii="宋体" w:hAnsi="宋体" w:eastAsia="宋体"/>
                <w:sz w:val="16"/>
              </w:rPr>
              <w:t>-</w:t>
            </w:r>
          </w:p>
        </w:tc>
      </w:tr>
      <w:tr w14:paraId="5C445D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D16B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14CAB">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70193">
            <w:pPr>
              <w:jc w:val="center"/>
            </w:pPr>
            <w:r>
              <w:rPr>
                <w:rFonts w:ascii="宋体" w:hAnsi="宋体" w:eastAsia="宋体"/>
                <w:sz w:val="16"/>
              </w:rPr>
              <w:t>278.44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3E8CA">
            <w:pPr>
              <w:jc w:val="center"/>
            </w:pPr>
            <w:r>
              <w:rPr>
                <w:rFonts w:ascii="宋体" w:hAnsi="宋体" w:eastAsia="宋体"/>
                <w:sz w:val="16"/>
              </w:rPr>
              <w:t>282.24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01DE0">
            <w:pPr>
              <w:jc w:val="center"/>
            </w:pPr>
            <w:r>
              <w:rPr>
                <w:rFonts w:ascii="宋体" w:hAnsi="宋体" w:eastAsia="宋体"/>
                <w:sz w:val="16"/>
              </w:rPr>
              <w:t>282.24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7B1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F26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9D6AB">
            <w:pPr>
              <w:jc w:val="center"/>
            </w:pPr>
            <w:r>
              <w:rPr>
                <w:rFonts w:ascii="宋体" w:hAnsi="宋体" w:eastAsia="宋体"/>
                <w:sz w:val="16"/>
              </w:rPr>
              <w:t>-</w:t>
            </w:r>
          </w:p>
        </w:tc>
      </w:tr>
      <w:tr w14:paraId="4C68C2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7648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6A7B8">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071B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6498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073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A68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E931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11E4B">
            <w:pPr>
              <w:jc w:val="center"/>
            </w:pPr>
            <w:r>
              <w:rPr>
                <w:rFonts w:ascii="宋体" w:hAnsi="宋体" w:eastAsia="宋体"/>
                <w:sz w:val="16"/>
              </w:rPr>
              <w:t>-</w:t>
            </w:r>
          </w:p>
        </w:tc>
      </w:tr>
      <w:tr w14:paraId="52CAAFB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6A4CA">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C80E6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9EA921">
            <w:pPr>
              <w:jc w:val="center"/>
            </w:pPr>
            <w:r>
              <w:rPr>
                <w:rFonts w:ascii="宋体" w:hAnsi="宋体" w:eastAsia="宋体"/>
                <w:sz w:val="16"/>
              </w:rPr>
              <w:t>实际完成情况</w:t>
            </w:r>
          </w:p>
        </w:tc>
      </w:tr>
      <w:tr w14:paraId="1F85D0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3AA66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D6219F">
            <w:pPr>
              <w:jc w:val="both"/>
            </w:pPr>
            <w:r>
              <w:rPr>
                <w:rFonts w:ascii="宋体" w:hAnsi="宋体" w:eastAsia="宋体"/>
                <w:sz w:val="16"/>
              </w:rPr>
              <w:t>1、用于保障单位26人的工资、社保及公积金等的正常发放，促进托里县动物卫生监督所事业的发展。</w:t>
            </w:r>
            <w:r>
              <w:rPr>
                <w:rFonts w:ascii="宋体" w:hAnsi="宋体" w:eastAsia="宋体"/>
                <w:sz w:val="16"/>
              </w:rPr>
              <w:br w:type="textWrapping"/>
            </w:r>
            <w:r>
              <w:rPr>
                <w:rFonts w:ascii="宋体" w:hAnsi="宋体" w:eastAsia="宋体"/>
                <w:sz w:val="16"/>
              </w:rPr>
              <w:t>2、保障1辆车的车辆运行维护，提高托里县动物卫生监督所的运转效能。</w:t>
            </w:r>
            <w:r>
              <w:rPr>
                <w:rFonts w:ascii="宋体" w:hAnsi="宋体" w:eastAsia="宋体"/>
                <w:sz w:val="16"/>
              </w:rPr>
              <w:br w:type="textWrapping"/>
            </w:r>
            <w:r>
              <w:rPr>
                <w:rFonts w:ascii="宋体" w:hAnsi="宋体" w:eastAsia="宋体"/>
                <w:sz w:val="16"/>
              </w:rPr>
              <w:t>3，保证人员经费正常发放用于保障单位在职人员的工资、社保及公积金等支出。</w:t>
            </w:r>
            <w:r>
              <w:rPr>
                <w:rFonts w:ascii="宋体" w:hAnsi="宋体" w:eastAsia="宋体"/>
                <w:sz w:val="16"/>
              </w:rPr>
              <w:br w:type="textWrapping"/>
            </w:r>
            <w:r>
              <w:rPr>
                <w:rFonts w:ascii="宋体" w:hAnsi="宋体" w:eastAsia="宋体"/>
                <w:sz w:val="16"/>
              </w:rPr>
              <w:t>4，保证开展单位经费正常运转，业务工作正常运转，顺利开展工作。</w:t>
            </w:r>
            <w:r>
              <w:rPr>
                <w:rFonts w:ascii="宋体" w:hAnsi="宋体" w:eastAsia="宋体"/>
                <w:sz w:val="16"/>
              </w:rPr>
              <w:br w:type="textWrapping"/>
            </w:r>
            <w:r>
              <w:rPr>
                <w:rFonts w:ascii="宋体" w:hAnsi="宋体" w:eastAsia="宋体"/>
                <w:sz w:val="16"/>
              </w:rPr>
              <w:t>5，加强布病等动物疫病检测、“瘦肉精”等违禁药品检测。</w:t>
            </w:r>
            <w:r>
              <w:rPr>
                <w:rFonts w:ascii="宋体" w:hAnsi="宋体" w:eastAsia="宋体"/>
                <w:sz w:val="16"/>
              </w:rPr>
              <w:br w:type="textWrapping"/>
            </w:r>
            <w:r>
              <w:rPr>
                <w:rFonts w:ascii="宋体" w:hAnsi="宋体" w:eastAsia="宋体"/>
                <w:sz w:val="16"/>
              </w:rPr>
              <w:t>6、定点屠宰场牛羊胴体检疫合格卡环的佩戴，加强对动物及其产品运输车辆的消毒。</w:t>
            </w:r>
            <w:r>
              <w:rPr>
                <w:rFonts w:ascii="宋体" w:hAnsi="宋体" w:eastAsia="宋体"/>
                <w:sz w:val="16"/>
              </w:rPr>
              <w:br w:type="textWrapping"/>
            </w:r>
            <w:r>
              <w:rPr>
                <w:rFonts w:ascii="宋体" w:hAnsi="宋体" w:eastAsia="宋体"/>
                <w:sz w:val="16"/>
              </w:rPr>
              <w:t>7、加强对动物防疫、检疫以及畜产品质量安全知识的宣传力度。</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3502A4">
            <w:pPr>
              <w:jc w:val="both"/>
            </w:pPr>
            <w:r>
              <w:rPr>
                <w:rFonts w:ascii="宋体" w:hAnsi="宋体" w:eastAsia="宋体"/>
                <w:sz w:val="16"/>
              </w:rPr>
              <w:t>全年以提高体育公共服务能力和水平为主要目标，不断改进群众体育健身活动场地和设施，把全民健身与全民健康有机融合，推动了广大各族群众积极开展全民健身活动，促进了本地区公共体育服务均等化。通过广泛开展全民健身活动，丰富了各族群众精神文化生活，增强了全民身体素质，推动了全民健身与全民健康深度融合</w:t>
            </w:r>
            <w:r>
              <w:rPr>
                <w:rFonts w:hint="eastAsia" w:ascii="宋体" w:hAnsi="宋体"/>
                <w:sz w:val="16"/>
                <w:lang w:eastAsia="zh-CN"/>
              </w:rPr>
              <w:t>，在</w:t>
            </w:r>
            <w:r>
              <w:rPr>
                <w:rFonts w:ascii="宋体" w:hAnsi="宋体" w:eastAsia="宋体"/>
                <w:sz w:val="16"/>
              </w:rPr>
              <w:t>满足了人民群众对美好生活向往的同时，提高了意识形态领域反分裂斗争，维护了当地社会长治久安。                                     1，单位26人的工资、社保及公积金等的正常发放，促进托里县动物卫生监督所事业的发展。</w:t>
            </w:r>
            <w:r>
              <w:rPr>
                <w:rFonts w:ascii="宋体" w:hAnsi="宋体" w:eastAsia="宋体"/>
                <w:sz w:val="16"/>
              </w:rPr>
              <w:br w:type="textWrapping"/>
            </w:r>
            <w:r>
              <w:rPr>
                <w:rFonts w:ascii="宋体" w:hAnsi="宋体" w:eastAsia="宋体"/>
                <w:sz w:val="16"/>
              </w:rPr>
              <w:t>2、保障1辆车的车辆运行维护，提高托里县动物卫生监督所的运转效能。</w:t>
            </w:r>
            <w:r>
              <w:rPr>
                <w:rFonts w:ascii="宋体" w:hAnsi="宋体" w:eastAsia="宋体"/>
                <w:sz w:val="16"/>
              </w:rPr>
              <w:br w:type="textWrapping"/>
            </w:r>
            <w:r>
              <w:rPr>
                <w:rFonts w:ascii="宋体" w:hAnsi="宋体" w:eastAsia="宋体"/>
                <w:sz w:val="16"/>
              </w:rPr>
              <w:t>3，保证人员经费正常发放用于保障单位在职人员的工资、社保及公积金等支出。</w:t>
            </w:r>
            <w:r>
              <w:rPr>
                <w:rFonts w:ascii="宋体" w:hAnsi="宋体" w:eastAsia="宋体"/>
                <w:sz w:val="16"/>
              </w:rPr>
              <w:br w:type="textWrapping"/>
            </w:r>
            <w:r>
              <w:rPr>
                <w:rFonts w:ascii="宋体" w:hAnsi="宋体" w:eastAsia="宋体"/>
                <w:sz w:val="16"/>
              </w:rPr>
              <w:t>4，保证开展单位经费正常运转，业务工作正常运转，顺利开展工作。</w:t>
            </w:r>
            <w:r>
              <w:rPr>
                <w:rFonts w:ascii="宋体" w:hAnsi="宋体" w:eastAsia="宋体"/>
                <w:sz w:val="16"/>
              </w:rPr>
              <w:br w:type="textWrapping"/>
            </w:r>
            <w:r>
              <w:rPr>
                <w:rFonts w:ascii="宋体" w:hAnsi="宋体" w:eastAsia="宋体"/>
                <w:sz w:val="16"/>
              </w:rPr>
              <w:t>5，加强布病等动物疫病检测、“瘦肉精”等违禁药品检测。</w:t>
            </w:r>
            <w:r>
              <w:rPr>
                <w:rFonts w:ascii="宋体" w:hAnsi="宋体" w:eastAsia="宋体"/>
                <w:sz w:val="16"/>
              </w:rPr>
              <w:br w:type="textWrapping"/>
            </w:r>
            <w:r>
              <w:rPr>
                <w:rFonts w:ascii="宋体" w:hAnsi="宋体" w:eastAsia="宋体"/>
                <w:sz w:val="16"/>
              </w:rPr>
              <w:t>6、定点屠宰场牛羊胴体检疫合格卡环的佩戴，加强对动物及其产品运输车辆的消毒。</w:t>
            </w:r>
          </w:p>
        </w:tc>
      </w:tr>
      <w:tr w14:paraId="702C4EB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63BA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E2B6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F195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7294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D6B3E">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67E5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F0F2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A5228">
            <w:pPr>
              <w:jc w:val="center"/>
            </w:pPr>
            <w:r>
              <w:rPr>
                <w:rFonts w:ascii="宋体" w:hAnsi="宋体" w:eastAsia="宋体"/>
                <w:sz w:val="16"/>
              </w:rPr>
              <w:t>得分</w:t>
            </w:r>
          </w:p>
        </w:tc>
      </w:tr>
      <w:tr w14:paraId="1CBD75B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3C6A2">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102A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48856">
            <w:pPr>
              <w:jc w:val="center"/>
            </w:pPr>
            <w:r>
              <w:rPr>
                <w:rFonts w:ascii="宋体" w:hAnsi="宋体" w:eastAsia="宋体"/>
                <w:sz w:val="16"/>
              </w:rPr>
              <w:t>畜产品质量安全知识宣传次数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EB252">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D29C5">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F3B1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6A1DB">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964BF">
            <w:pPr>
              <w:jc w:val="center"/>
            </w:pPr>
            <w:r>
              <w:rPr>
                <w:rFonts w:ascii="宋体" w:hAnsi="宋体" w:eastAsia="宋体"/>
                <w:sz w:val="16"/>
              </w:rPr>
              <w:t>15</w:t>
            </w:r>
          </w:p>
        </w:tc>
      </w:tr>
      <w:tr w14:paraId="16C2A22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F256A">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FFDF2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18026">
            <w:pPr>
              <w:jc w:val="center"/>
            </w:pPr>
            <w:r>
              <w:rPr>
                <w:rFonts w:ascii="宋体" w:hAnsi="宋体" w:eastAsia="宋体"/>
                <w:sz w:val="16"/>
              </w:rPr>
              <w:t>布病监测数量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F1BF37">
            <w:pPr>
              <w:jc w:val="center"/>
            </w:pPr>
            <w:r>
              <w:rPr>
                <w:rFonts w:ascii="宋体" w:hAnsi="宋体" w:eastAsia="宋体"/>
                <w:sz w:val="16"/>
              </w:rPr>
              <w:t>8万头只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50666">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9B70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E479C">
            <w:pPr>
              <w:jc w:val="center"/>
            </w:pPr>
            <w:r>
              <w:rPr>
                <w:rFonts w:ascii="宋体" w:hAnsi="宋体" w:eastAsia="宋体"/>
                <w:sz w:val="16"/>
              </w:rPr>
              <w:t>6.32万头只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9B56D">
            <w:pPr>
              <w:jc w:val="center"/>
            </w:pPr>
            <w:r>
              <w:rPr>
                <w:rFonts w:ascii="宋体" w:hAnsi="宋体" w:eastAsia="宋体"/>
                <w:sz w:val="16"/>
              </w:rPr>
              <w:t>11.85</w:t>
            </w:r>
          </w:p>
        </w:tc>
      </w:tr>
      <w:tr w14:paraId="72E4E8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43D9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6900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7C447">
            <w:pPr>
              <w:jc w:val="center"/>
            </w:pPr>
            <w:r>
              <w:rPr>
                <w:rFonts w:ascii="宋体" w:hAnsi="宋体" w:eastAsia="宋体"/>
                <w:sz w:val="16"/>
              </w:rPr>
              <w:t>动物产品安全率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D2FA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59E2B">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81E1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8EEB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64830">
            <w:pPr>
              <w:jc w:val="center"/>
            </w:pPr>
            <w:r>
              <w:rPr>
                <w:rFonts w:ascii="宋体" w:hAnsi="宋体" w:eastAsia="宋体"/>
                <w:sz w:val="16"/>
              </w:rPr>
              <w:t>20</w:t>
            </w:r>
          </w:p>
        </w:tc>
      </w:tr>
      <w:tr w14:paraId="04E70B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5F32C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03C1C">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2C9EC">
            <w:pPr>
              <w:jc w:val="center"/>
            </w:pPr>
            <w:r>
              <w:rPr>
                <w:rFonts w:ascii="宋体" w:hAnsi="宋体" w:eastAsia="宋体"/>
                <w:sz w:val="16"/>
              </w:rPr>
              <w:t>布病监测覆盖率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77C0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1961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55C7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5FE12">
            <w:pPr>
              <w:jc w:val="center"/>
            </w:pPr>
            <w:r>
              <w:rPr>
                <w:rFonts w:ascii="宋体" w:hAnsi="宋体" w:eastAsia="宋体"/>
                <w:sz w:val="16"/>
              </w:rPr>
              <w:t>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F921C">
            <w:pPr>
              <w:jc w:val="center"/>
            </w:pPr>
            <w:r>
              <w:rPr>
                <w:rFonts w:ascii="宋体" w:hAnsi="宋体" w:eastAsia="宋体"/>
                <w:sz w:val="16"/>
              </w:rPr>
              <w:t>15.8</w:t>
            </w:r>
          </w:p>
        </w:tc>
      </w:tr>
      <w:tr w14:paraId="4183B6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5CF9A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D5943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3EA16">
            <w:pPr>
              <w:jc w:val="center"/>
            </w:pPr>
            <w:r>
              <w:rPr>
                <w:rFonts w:ascii="宋体" w:hAnsi="宋体" w:eastAsia="宋体"/>
                <w:sz w:val="16"/>
              </w:rPr>
              <w:t>动物及动物产品检疫监督率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226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D040B">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3A53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C6AF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43D49">
            <w:pPr>
              <w:jc w:val="center"/>
            </w:pPr>
            <w:r>
              <w:rPr>
                <w:rFonts w:ascii="宋体" w:hAnsi="宋体" w:eastAsia="宋体"/>
                <w:sz w:val="16"/>
              </w:rPr>
              <w:t>20</w:t>
            </w:r>
          </w:p>
        </w:tc>
      </w:tr>
    </w:tbl>
    <w:p w14:paraId="44FD15D1">
      <w:r>
        <w:br w:type="page"/>
      </w:r>
    </w:p>
    <w:tbl>
      <w:tblPr>
        <w:tblStyle w:val="9"/>
        <w:tblW w:w="9197" w:type="dxa"/>
        <w:tblInd w:w="0" w:type="dxa"/>
        <w:tblLayout w:type="autofit"/>
        <w:tblCellMar>
          <w:top w:w="0" w:type="dxa"/>
          <w:left w:w="108" w:type="dxa"/>
          <w:bottom w:w="0" w:type="dxa"/>
          <w:right w:w="108" w:type="dxa"/>
        </w:tblCellMar>
      </w:tblPr>
      <w:tblGrid>
        <w:gridCol w:w="625"/>
        <w:gridCol w:w="614"/>
        <w:gridCol w:w="615"/>
        <w:gridCol w:w="696"/>
        <w:gridCol w:w="776"/>
        <w:gridCol w:w="615"/>
        <w:gridCol w:w="615"/>
        <w:gridCol w:w="620"/>
        <w:gridCol w:w="615"/>
        <w:gridCol w:w="620"/>
        <w:gridCol w:w="696"/>
        <w:gridCol w:w="626"/>
        <w:gridCol w:w="631"/>
        <w:gridCol w:w="833"/>
      </w:tblGrid>
      <w:tr w14:paraId="70854246">
        <w:tblPrEx>
          <w:tblCellMar>
            <w:top w:w="0" w:type="dxa"/>
            <w:left w:w="108" w:type="dxa"/>
            <w:bottom w:w="0" w:type="dxa"/>
            <w:right w:w="108" w:type="dxa"/>
          </w:tblCellMar>
        </w:tblPrEx>
        <w:tc>
          <w:tcPr>
            <w:tcW w:w="9197" w:type="dxa"/>
            <w:gridSpan w:val="14"/>
            <w:vAlign w:val="center"/>
          </w:tcPr>
          <w:p w14:paraId="6B3BDFB6">
            <w:pPr>
              <w:jc w:val="center"/>
            </w:pPr>
            <w:r>
              <w:rPr>
                <w:rFonts w:ascii="宋体" w:hAnsi="宋体" w:eastAsia="宋体"/>
                <w:sz w:val="24"/>
              </w:rPr>
              <w:t>项目支出绩效自评表</w:t>
            </w:r>
          </w:p>
        </w:tc>
      </w:tr>
      <w:tr w14:paraId="5DA03996">
        <w:tblPrEx>
          <w:tblCellMar>
            <w:top w:w="0" w:type="dxa"/>
            <w:left w:w="108" w:type="dxa"/>
            <w:bottom w:w="0" w:type="dxa"/>
            <w:right w:w="108" w:type="dxa"/>
          </w:tblCellMar>
        </w:tblPrEx>
        <w:tc>
          <w:tcPr>
            <w:tcW w:w="9197" w:type="dxa"/>
            <w:gridSpan w:val="14"/>
            <w:vAlign w:val="center"/>
          </w:tcPr>
          <w:p w14:paraId="130A4B5B">
            <w:pPr>
              <w:jc w:val="center"/>
            </w:pPr>
            <w:r>
              <w:rPr>
                <w:rFonts w:ascii="宋体" w:hAnsi="宋体" w:eastAsia="宋体"/>
                <w:sz w:val="24"/>
              </w:rPr>
              <w:t>(2024年度)</w:t>
            </w:r>
          </w:p>
        </w:tc>
      </w:tr>
      <w:tr w14:paraId="1537FD03">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3978E29">
            <w:pPr>
              <w:jc w:val="center"/>
            </w:pPr>
            <w:r>
              <w:rPr>
                <w:rFonts w:ascii="宋体" w:hAnsi="宋体" w:eastAsia="宋体"/>
                <w:sz w:val="16"/>
              </w:rPr>
              <w:t>项目名称</w:t>
            </w:r>
          </w:p>
        </w:tc>
        <w:tc>
          <w:tcPr>
            <w:tcW w:w="857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660E61">
            <w:pPr>
              <w:jc w:val="center"/>
            </w:pPr>
            <w:r>
              <w:rPr>
                <w:rFonts w:ascii="宋体" w:hAnsi="宋体" w:eastAsia="宋体"/>
                <w:sz w:val="16"/>
              </w:rPr>
              <w:t>动物防疫补助资金项目</w:t>
            </w:r>
          </w:p>
        </w:tc>
      </w:tr>
      <w:tr w14:paraId="79886B20">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54BD95A">
            <w:pPr>
              <w:jc w:val="center"/>
            </w:pPr>
            <w:r>
              <w:rPr>
                <w:rFonts w:ascii="宋体" w:hAnsi="宋体" w:eastAsia="宋体"/>
                <w:sz w:val="16"/>
              </w:rPr>
              <w:t>主管部门</w:t>
            </w:r>
          </w:p>
        </w:tc>
        <w:tc>
          <w:tcPr>
            <w:tcW w:w="45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DAA8C">
            <w:pPr>
              <w:jc w:val="center"/>
            </w:pPr>
            <w:r>
              <w:rPr>
                <w:rFonts w:ascii="宋体" w:hAnsi="宋体" w:eastAsia="宋体"/>
                <w:sz w:val="16"/>
              </w:rPr>
              <w:t>托里县动物卫生监督所</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6F6E81E">
            <w:pPr>
              <w:jc w:val="center"/>
            </w:pPr>
            <w:r>
              <w:rPr>
                <w:rFonts w:ascii="宋体" w:hAnsi="宋体" w:eastAsia="宋体"/>
                <w:sz w:val="16"/>
              </w:rPr>
              <w:t>实施单位</w:t>
            </w:r>
          </w:p>
        </w:tc>
        <w:tc>
          <w:tcPr>
            <w:tcW w:w="340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1A01DA">
            <w:pPr>
              <w:jc w:val="center"/>
            </w:pPr>
            <w:r>
              <w:rPr>
                <w:rFonts w:ascii="宋体" w:hAnsi="宋体" w:eastAsia="宋体"/>
                <w:sz w:val="16"/>
              </w:rPr>
              <w:t>托里县动物卫生监督所</w:t>
            </w:r>
          </w:p>
        </w:tc>
      </w:tr>
      <w:tr w14:paraId="13DD9DE7">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146DA">
            <w:pPr>
              <w:jc w:val="center"/>
            </w:pPr>
            <w:r>
              <w:rPr>
                <w:rFonts w:ascii="宋体" w:hAnsi="宋体" w:eastAsia="宋体"/>
                <w:sz w:val="16"/>
              </w:rPr>
              <w:t>项目资金 （万元）</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EE0F5">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5452D">
            <w:pPr>
              <w:jc w:val="center"/>
            </w:pPr>
            <w:r>
              <w:rPr>
                <w:rFonts w:ascii="宋体" w:hAnsi="宋体" w:eastAsia="宋体"/>
                <w:sz w:val="16"/>
              </w:rPr>
              <w:t>年初预算数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A4641">
            <w:pPr>
              <w:jc w:val="center"/>
            </w:pPr>
            <w:r>
              <w:rPr>
                <w:rFonts w:ascii="宋体" w:hAnsi="宋体" w:eastAsia="宋体"/>
                <w:sz w:val="16"/>
              </w:rPr>
              <w:t>全年预算数</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B7BB0">
            <w:pPr>
              <w:jc w:val="center"/>
            </w:pPr>
            <w:r>
              <w:rPr>
                <w:rFonts w:ascii="宋体" w:hAnsi="宋体" w:eastAsia="宋体"/>
                <w:sz w:val="16"/>
              </w:rPr>
              <w:t>全年执行数</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BFC3E">
            <w:pPr>
              <w:jc w:val="center"/>
            </w:pPr>
            <w:r>
              <w:rPr>
                <w:rFonts w:ascii="宋体" w:hAnsi="宋体" w:eastAsia="宋体"/>
                <w:sz w:val="16"/>
              </w:rPr>
              <w:t>分值</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1B1A2">
            <w:pPr>
              <w:jc w:val="center"/>
            </w:pPr>
            <w:r>
              <w:rPr>
                <w:rFonts w:ascii="宋体" w:hAnsi="宋体" w:eastAsia="宋体"/>
                <w:sz w:val="16"/>
              </w:rPr>
              <w:t>执行率</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0768C576">
            <w:pPr>
              <w:jc w:val="center"/>
            </w:pPr>
            <w:r>
              <w:rPr>
                <w:rFonts w:ascii="宋体" w:hAnsi="宋体" w:eastAsia="宋体"/>
                <w:sz w:val="16"/>
              </w:rPr>
              <w:t>得分</w:t>
            </w:r>
          </w:p>
        </w:tc>
      </w:tr>
      <w:tr w14:paraId="1A2E5F8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8911C61"/>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9C946">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47F34">
            <w:pPr>
              <w:jc w:val="center"/>
            </w:pPr>
            <w:r>
              <w:rPr>
                <w:rFonts w:ascii="宋体" w:hAnsi="宋体" w:eastAsia="宋体"/>
                <w:sz w:val="16"/>
              </w:rPr>
              <w:t>5.10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E64A3">
            <w:pPr>
              <w:jc w:val="center"/>
            </w:pPr>
            <w:r>
              <w:rPr>
                <w:rFonts w:ascii="宋体" w:hAnsi="宋体" w:eastAsia="宋体"/>
                <w:sz w:val="16"/>
              </w:rPr>
              <w:t>5.10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EC31D">
            <w:pPr>
              <w:jc w:val="center"/>
            </w:pPr>
            <w:r>
              <w:rPr>
                <w:rFonts w:ascii="宋体" w:hAnsi="宋体" w:eastAsia="宋体"/>
                <w:sz w:val="16"/>
              </w:rPr>
              <w:t>5.10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23F47">
            <w:pPr>
              <w:jc w:val="center"/>
            </w:pPr>
            <w:r>
              <w:rPr>
                <w:rFonts w:ascii="宋体" w:hAnsi="宋体" w:eastAsia="宋体"/>
                <w:sz w:val="16"/>
              </w:rPr>
              <w:t>10</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E6F7C">
            <w:pPr>
              <w:jc w:val="center"/>
            </w:pPr>
            <w:r>
              <w:rPr>
                <w:rFonts w:ascii="宋体" w:hAnsi="宋体" w:eastAsia="宋体"/>
                <w:sz w:val="16"/>
              </w:rPr>
              <w:t>100.00%</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163E0BE6">
            <w:pPr>
              <w:jc w:val="center"/>
            </w:pPr>
            <w:r>
              <w:rPr>
                <w:rFonts w:ascii="宋体" w:hAnsi="宋体" w:eastAsia="宋体"/>
                <w:sz w:val="16"/>
              </w:rPr>
              <w:t>10.00</w:t>
            </w:r>
          </w:p>
        </w:tc>
      </w:tr>
      <w:tr w14:paraId="352B955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665477D"/>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23F4">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EDB99">
            <w:pPr>
              <w:jc w:val="center"/>
            </w:pPr>
            <w:r>
              <w:rPr>
                <w:rFonts w:ascii="宋体" w:hAnsi="宋体" w:eastAsia="宋体"/>
                <w:sz w:val="16"/>
              </w:rPr>
              <w:t>5.10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42192">
            <w:pPr>
              <w:jc w:val="center"/>
            </w:pPr>
            <w:r>
              <w:rPr>
                <w:rFonts w:ascii="宋体" w:hAnsi="宋体" w:eastAsia="宋体"/>
                <w:sz w:val="16"/>
              </w:rPr>
              <w:t>5.10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3309E">
            <w:pPr>
              <w:jc w:val="center"/>
            </w:pPr>
            <w:r>
              <w:rPr>
                <w:rFonts w:ascii="宋体" w:hAnsi="宋体" w:eastAsia="宋体"/>
                <w:sz w:val="16"/>
              </w:rPr>
              <w:t>5.10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9E337">
            <w:pPr>
              <w:jc w:val="center"/>
            </w:pPr>
            <w:r>
              <w:rPr>
                <w:rFonts w:ascii="宋体" w:hAnsi="宋体" w:eastAsia="宋体"/>
                <w:sz w:val="16"/>
              </w:rPr>
              <w:t>—</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00F72">
            <w:pPr>
              <w:jc w:val="center"/>
            </w:pPr>
            <w:r>
              <w:rPr>
                <w:rFonts w:ascii="宋体" w:hAnsi="宋体" w:eastAsia="宋体"/>
                <w:sz w:val="16"/>
              </w:rPr>
              <w:t>—</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71604611">
            <w:pPr>
              <w:jc w:val="center"/>
            </w:pPr>
            <w:r>
              <w:rPr>
                <w:rFonts w:ascii="宋体" w:hAnsi="宋体" w:eastAsia="宋体"/>
                <w:sz w:val="16"/>
              </w:rPr>
              <w:t>—</w:t>
            </w:r>
          </w:p>
        </w:tc>
      </w:tr>
      <w:tr w14:paraId="2BAF499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37247B1"/>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7D5E0">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8AEA4">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48ACD">
            <w:pPr>
              <w:jc w:val="center"/>
            </w:pPr>
            <w:r>
              <w:rPr>
                <w:rFonts w:ascii="宋体" w:hAnsi="宋体" w:eastAsia="宋体"/>
                <w:sz w:val="16"/>
              </w:rPr>
              <w:t>0.00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10816">
            <w:pPr>
              <w:jc w:val="center"/>
            </w:pPr>
            <w:r>
              <w:rPr>
                <w:rFonts w:ascii="宋体" w:hAnsi="宋体" w:eastAsia="宋体"/>
                <w:sz w:val="16"/>
              </w:rPr>
              <w:t>0.00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843FE">
            <w:pPr>
              <w:jc w:val="center"/>
            </w:pPr>
            <w:r>
              <w:rPr>
                <w:rFonts w:ascii="宋体" w:hAnsi="宋体" w:eastAsia="宋体"/>
                <w:sz w:val="16"/>
              </w:rPr>
              <w:t>—</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510D2">
            <w:pPr>
              <w:jc w:val="center"/>
            </w:pPr>
            <w:r>
              <w:rPr>
                <w:rFonts w:ascii="宋体" w:hAnsi="宋体" w:eastAsia="宋体"/>
                <w:sz w:val="16"/>
              </w:rPr>
              <w:t>—</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41C888EB">
            <w:pPr>
              <w:jc w:val="center"/>
            </w:pPr>
            <w:r>
              <w:rPr>
                <w:rFonts w:ascii="宋体" w:hAnsi="宋体" w:eastAsia="宋体"/>
                <w:sz w:val="16"/>
              </w:rPr>
              <w:t>—</w:t>
            </w:r>
          </w:p>
        </w:tc>
      </w:tr>
      <w:tr w14:paraId="1C8444A3">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58255">
            <w:pPr>
              <w:jc w:val="center"/>
            </w:pPr>
            <w:r>
              <w:rPr>
                <w:rFonts w:ascii="宋体" w:hAnsi="宋体" w:eastAsia="宋体"/>
                <w:sz w:val="16"/>
              </w:rPr>
              <w:t>年度总体目标</w:t>
            </w:r>
          </w:p>
        </w:tc>
        <w:tc>
          <w:tcPr>
            <w:tcW w:w="45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F499C5">
            <w:pPr>
              <w:jc w:val="center"/>
            </w:pPr>
            <w:r>
              <w:rPr>
                <w:rFonts w:ascii="宋体" w:hAnsi="宋体" w:eastAsia="宋体"/>
                <w:sz w:val="16"/>
              </w:rPr>
              <w:t>预期目标</w:t>
            </w:r>
          </w:p>
        </w:tc>
        <w:tc>
          <w:tcPr>
            <w:tcW w:w="402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AF2B9D">
            <w:pPr>
              <w:jc w:val="center"/>
            </w:pPr>
            <w:r>
              <w:rPr>
                <w:rFonts w:ascii="宋体" w:hAnsi="宋体" w:eastAsia="宋体"/>
                <w:sz w:val="16"/>
              </w:rPr>
              <w:t>实际完成情况</w:t>
            </w:r>
          </w:p>
        </w:tc>
      </w:tr>
      <w:tr w14:paraId="470B15F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A1A16F2"/>
        </w:tc>
        <w:tc>
          <w:tcPr>
            <w:tcW w:w="45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EF5C1">
            <w:pPr>
              <w:jc w:val="both"/>
            </w:pPr>
            <w:r>
              <w:rPr>
                <w:rFonts w:ascii="宋体" w:hAnsi="宋体" w:eastAsia="宋体"/>
                <w:sz w:val="16"/>
              </w:rPr>
              <w:t>2024年动物防疫补助资金项目5.1万元，用于采购牛耳标1.71万枚，采购羊耳标3万枚，采购卡环1.923万枚，加强跨省调入，调出动物流通及落地</w:t>
            </w:r>
            <w:r>
              <w:rPr>
                <w:rFonts w:hint="eastAsia" w:ascii="宋体" w:hAnsi="宋体"/>
                <w:sz w:val="16"/>
                <w:lang w:eastAsia="zh-CN"/>
              </w:rPr>
              <w:t>监督管理</w:t>
            </w:r>
            <w:r>
              <w:rPr>
                <w:rFonts w:ascii="宋体" w:hAnsi="宋体" w:eastAsia="宋体"/>
                <w:sz w:val="16"/>
              </w:rPr>
              <w:t>动物检疫合格证（动物A）400本，动物产品标签18.384万枚加强对动物防疫、检疫以及畜产品质量安全知识的宣传力度的经费，提高动物和动物产品质量，群众满意度达到95%。</w:t>
            </w:r>
          </w:p>
        </w:tc>
        <w:tc>
          <w:tcPr>
            <w:tcW w:w="402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8A0463">
            <w:pPr>
              <w:jc w:val="both"/>
            </w:pPr>
            <w:r>
              <w:rPr>
                <w:rFonts w:ascii="宋体" w:hAnsi="宋体" w:eastAsia="宋体"/>
                <w:sz w:val="16"/>
              </w:rPr>
              <w:t>2024年动物防疫补助资金项目5.1万元，用于采购牛、羊耳标4.71万枚，采购卡环1.9230万枚，加强跨省调入，调出动物流通及落地</w:t>
            </w:r>
            <w:r>
              <w:rPr>
                <w:rFonts w:hint="eastAsia" w:ascii="宋体" w:hAnsi="宋体"/>
                <w:sz w:val="16"/>
                <w:lang w:eastAsia="zh-CN"/>
              </w:rPr>
              <w:t>监督管理</w:t>
            </w:r>
            <w:r>
              <w:rPr>
                <w:rFonts w:ascii="宋体" w:hAnsi="宋体" w:eastAsia="宋体"/>
                <w:sz w:val="16"/>
              </w:rPr>
              <w:t>动物检疫合格证（动物A）400本，动物产品标签18.384万枚加强对动物防疫、检疫以及畜产品质量安全知识的宣传力度的经费，提高动物和动物产品质量，群众满意度达到100%。</w:t>
            </w:r>
          </w:p>
        </w:tc>
      </w:tr>
      <w:tr w14:paraId="7AFD700C">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1D5AF849"/>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D5B02FA">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A2795FC">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4F9D57">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38BFD3">
            <w:pPr>
              <w:jc w:val="center"/>
            </w:pPr>
            <w:r>
              <w:rPr>
                <w:rFonts w:ascii="宋体" w:hAnsi="宋体" w:eastAsia="宋体"/>
                <w:sz w:val="16"/>
              </w:rPr>
              <w:t>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5DF2D80">
            <w:pPr>
              <w:jc w:val="center"/>
            </w:pPr>
            <w:r>
              <w:rPr>
                <w:rFonts w:ascii="宋体" w:hAnsi="宋体" w:eastAsia="宋体"/>
                <w:sz w:val="16"/>
              </w:rPr>
              <w:t>指标值设定依据</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47FCBF9">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718AAF9">
            <w:pPr>
              <w:jc w:val="center"/>
            </w:pPr>
            <w:r>
              <w:rPr>
                <w:rFonts w:ascii="宋体" w:hAnsi="宋体" w:eastAsia="宋体"/>
                <w:sz w:val="16"/>
              </w:rPr>
              <w:t>指标分值权重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C2D6F42">
            <w:pPr>
              <w:jc w:val="center"/>
            </w:pPr>
            <w:r>
              <w:rPr>
                <w:rFonts w:ascii="宋体" w:hAnsi="宋体" w:eastAsia="宋体"/>
                <w:sz w:val="16"/>
              </w:rPr>
              <w:t>指标赋分规则</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D6F2706">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55E562">
            <w:pPr>
              <w:jc w:val="center"/>
            </w:pPr>
            <w:r>
              <w:rPr>
                <w:rFonts w:ascii="宋体" w:hAnsi="宋体" w:eastAsia="宋体"/>
                <w:sz w:val="16"/>
              </w:rPr>
              <w:t>指标实际完成值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E5022E7">
            <w:pPr>
              <w:jc w:val="center"/>
            </w:pPr>
            <w:r>
              <w:rPr>
                <w:rFonts w:ascii="宋体" w:hAnsi="宋体" w:eastAsia="宋体"/>
                <w:sz w:val="16"/>
              </w:rPr>
              <w:t>完成率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E1EE975">
            <w:pPr>
              <w:jc w:val="center"/>
            </w:pPr>
            <w:r>
              <w:rPr>
                <w:rFonts w:ascii="宋体" w:hAnsi="宋体" w:eastAsia="宋体"/>
                <w:sz w:val="16"/>
              </w:rPr>
              <w:t>指标得分</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20BEDBA1">
            <w:pPr>
              <w:jc w:val="center"/>
            </w:pPr>
            <w:r>
              <w:rPr>
                <w:rFonts w:ascii="宋体" w:hAnsi="宋体" w:eastAsia="宋体"/>
                <w:sz w:val="16"/>
              </w:rPr>
              <w:t>偏差原因分析及改进措施</w:t>
            </w:r>
          </w:p>
        </w:tc>
      </w:tr>
      <w:tr w14:paraId="782842FE">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C1E91">
            <w:pPr>
              <w:jc w:val="center"/>
            </w:pPr>
            <w:r>
              <w:rPr>
                <w:rFonts w:ascii="宋体" w:hAnsi="宋体" w:eastAsia="宋体"/>
                <w:sz w:val="16"/>
              </w:rPr>
              <w:t>年度绩效指标完成情况</w:t>
            </w:r>
          </w:p>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FD894">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1F113">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AED31C">
            <w:pPr>
              <w:jc w:val="center"/>
            </w:pPr>
            <w:r>
              <w:rPr>
                <w:rFonts w:ascii="宋体" w:hAnsi="宋体" w:eastAsia="宋体"/>
                <w:sz w:val="16"/>
              </w:rPr>
              <w:t>采购牛耳标数量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7CC011">
            <w:pPr>
              <w:jc w:val="center"/>
            </w:pPr>
            <w:r>
              <w:rPr>
                <w:rFonts w:ascii="宋体" w:hAnsi="宋体" w:eastAsia="宋体"/>
                <w:sz w:val="16"/>
              </w:rPr>
              <w:t>&gt;=1.71万枚</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9D636FD">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4234F96">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3155B4E">
            <w:pPr>
              <w:jc w:val="center"/>
            </w:pPr>
            <w:r>
              <w:rPr>
                <w:rFonts w:ascii="宋体" w:hAnsi="宋体" w:eastAsia="宋体"/>
                <w:sz w:val="16"/>
              </w:rPr>
              <w:t>4</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9910A0E">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0E5ABD5">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2F1455">
            <w:pPr>
              <w:jc w:val="center"/>
            </w:pPr>
            <w:r>
              <w:rPr>
                <w:rFonts w:ascii="宋体" w:hAnsi="宋体" w:eastAsia="宋体"/>
                <w:sz w:val="16"/>
              </w:rPr>
              <w:t>=1.71万枚</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B2AAB67">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8433BC9">
            <w:pPr>
              <w:jc w:val="center"/>
            </w:pPr>
            <w:r>
              <w:rPr>
                <w:rFonts w:ascii="宋体" w:hAnsi="宋体" w:eastAsia="宋体"/>
                <w:sz w:val="16"/>
              </w:rPr>
              <w:t>4</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4517E41E">
            <w:pPr>
              <w:jc w:val="center"/>
            </w:pPr>
          </w:p>
        </w:tc>
      </w:tr>
      <w:tr w14:paraId="5422152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E4C9E4E"/>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70F321E"/>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D99EDF8"/>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73A0FC">
            <w:pPr>
              <w:jc w:val="center"/>
            </w:pPr>
            <w:r>
              <w:rPr>
                <w:rFonts w:ascii="宋体" w:hAnsi="宋体" w:eastAsia="宋体"/>
                <w:sz w:val="16"/>
              </w:rPr>
              <w:t>采购羊耳标数量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4C6F9E">
            <w:pPr>
              <w:jc w:val="center"/>
            </w:pPr>
            <w:r>
              <w:rPr>
                <w:rFonts w:ascii="宋体" w:hAnsi="宋体" w:eastAsia="宋体"/>
                <w:sz w:val="16"/>
              </w:rPr>
              <w:t>&gt;=5.81万枚</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8AF2DB8">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539E15A">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27AB06A">
            <w:pPr>
              <w:jc w:val="center"/>
            </w:pPr>
            <w:r>
              <w:rPr>
                <w:rFonts w:ascii="宋体" w:hAnsi="宋体" w:eastAsia="宋体"/>
                <w:sz w:val="16"/>
              </w:rPr>
              <w:t>4</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FF6FA94">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5C0E60B">
            <w:pPr>
              <w:jc w:val="center"/>
            </w:pPr>
            <w:r>
              <w:rPr>
                <w:rFonts w:ascii="宋体" w:hAnsi="宋体" w:eastAsia="宋体"/>
                <w:sz w:val="16"/>
              </w:rPr>
              <w:t>正式材料,说明材料,工作资料,原始凭证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D13FBF">
            <w:pPr>
              <w:jc w:val="center"/>
            </w:pPr>
            <w:r>
              <w:rPr>
                <w:rFonts w:ascii="宋体" w:hAnsi="宋体" w:eastAsia="宋体"/>
                <w:sz w:val="16"/>
              </w:rPr>
              <w:t>=3万枚</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E8C9E60">
            <w:pPr>
              <w:jc w:val="center"/>
            </w:pPr>
            <w:r>
              <w:rPr>
                <w:rFonts w:ascii="宋体" w:hAnsi="宋体" w:eastAsia="宋体"/>
                <w:sz w:val="16"/>
              </w:rPr>
              <w:t>52%</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E958CF8">
            <w:pPr>
              <w:jc w:val="center"/>
            </w:pPr>
            <w:r>
              <w:rPr>
                <w:rFonts w:ascii="宋体" w:hAnsi="宋体" w:eastAsia="宋体"/>
                <w:sz w:val="16"/>
              </w:rPr>
              <w:t>2.08</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4850B3B8">
            <w:pPr>
              <w:jc w:val="center"/>
            </w:pPr>
            <w:r>
              <w:rPr>
                <w:rFonts w:ascii="宋体" w:hAnsi="宋体" w:eastAsia="宋体"/>
                <w:sz w:val="16"/>
              </w:rPr>
              <w:t>偏差原因：年初目标设置不精准，库存还剩有2023年度采购的羊耳标数量，因此无需多买，改进措施：精准需求预测，定期复盘。</w:t>
            </w:r>
          </w:p>
        </w:tc>
      </w:tr>
      <w:tr w14:paraId="26A082C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8A58902"/>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1E3CDA7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DCCA9A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1D48CB">
            <w:pPr>
              <w:jc w:val="center"/>
            </w:pPr>
            <w:r>
              <w:rPr>
                <w:rFonts w:ascii="宋体" w:hAnsi="宋体" w:eastAsia="宋体"/>
                <w:sz w:val="16"/>
              </w:rPr>
              <w:t>采购卡环数量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843F12">
            <w:pPr>
              <w:jc w:val="center"/>
            </w:pPr>
            <w:r>
              <w:rPr>
                <w:rFonts w:ascii="宋体" w:hAnsi="宋体" w:eastAsia="宋体"/>
                <w:sz w:val="16"/>
              </w:rPr>
              <w:t>&gt;=1.92万枚</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C668F3E">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9AA6A5C">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BCEA847">
            <w:pPr>
              <w:jc w:val="center"/>
            </w:pPr>
            <w:r>
              <w:rPr>
                <w:rFonts w:ascii="宋体" w:hAnsi="宋体" w:eastAsia="宋体"/>
                <w:sz w:val="16"/>
              </w:rPr>
              <w:t>4</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3BBD8DD">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8487C22">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23B810">
            <w:pPr>
              <w:jc w:val="center"/>
            </w:pPr>
            <w:r>
              <w:rPr>
                <w:rFonts w:ascii="宋体" w:hAnsi="宋体" w:eastAsia="宋体"/>
                <w:sz w:val="16"/>
              </w:rPr>
              <w:t>=1.92万枚</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ED9CA4A">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45C2663">
            <w:pPr>
              <w:jc w:val="center"/>
            </w:pPr>
            <w:r>
              <w:rPr>
                <w:rFonts w:ascii="宋体" w:hAnsi="宋体" w:eastAsia="宋体"/>
                <w:sz w:val="16"/>
              </w:rPr>
              <w:t>4</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5D1A5851">
            <w:pPr>
              <w:jc w:val="center"/>
            </w:pPr>
          </w:p>
        </w:tc>
      </w:tr>
      <w:tr w14:paraId="4D115F6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9CA6D15"/>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499A2BD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6EC2D2E"/>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080103">
            <w:pPr>
              <w:jc w:val="center"/>
            </w:pPr>
            <w:r>
              <w:rPr>
                <w:rFonts w:ascii="宋体" w:hAnsi="宋体" w:eastAsia="宋体"/>
                <w:sz w:val="16"/>
              </w:rPr>
              <w:t>采购动物检疫合格证（动物A）数量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1AFB38">
            <w:pPr>
              <w:jc w:val="center"/>
            </w:pPr>
            <w:r>
              <w:rPr>
                <w:rFonts w:ascii="宋体" w:hAnsi="宋体" w:eastAsia="宋体"/>
                <w:sz w:val="16"/>
              </w:rPr>
              <w:t>&gt;=400本</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89D6D8A">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2B1B07F">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4F5856B">
            <w:pPr>
              <w:jc w:val="center"/>
            </w:pPr>
            <w:r>
              <w:rPr>
                <w:rFonts w:ascii="宋体" w:hAnsi="宋体" w:eastAsia="宋体"/>
                <w:sz w:val="16"/>
              </w:rPr>
              <w:t>4</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D765D3E">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B06B533">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E8F099">
            <w:pPr>
              <w:jc w:val="center"/>
            </w:pPr>
            <w:r>
              <w:rPr>
                <w:rFonts w:ascii="宋体" w:hAnsi="宋体" w:eastAsia="宋体"/>
                <w:sz w:val="16"/>
              </w:rPr>
              <w:t>=400本</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90E1235">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08C054C">
            <w:pPr>
              <w:jc w:val="center"/>
            </w:pPr>
            <w:r>
              <w:rPr>
                <w:rFonts w:ascii="宋体" w:hAnsi="宋体" w:eastAsia="宋体"/>
                <w:sz w:val="16"/>
              </w:rPr>
              <w:t>4</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2DD51FD8">
            <w:pPr>
              <w:jc w:val="center"/>
            </w:pPr>
          </w:p>
        </w:tc>
      </w:tr>
      <w:tr w14:paraId="5FEFFB2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A7B7C36"/>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6847C9F"/>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E462FC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A2DF7E">
            <w:pPr>
              <w:jc w:val="center"/>
            </w:pPr>
            <w:r>
              <w:rPr>
                <w:rFonts w:ascii="宋体" w:hAnsi="宋体" w:eastAsia="宋体"/>
                <w:sz w:val="16"/>
              </w:rPr>
              <w:t>采购动物产品标签数量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95AF78">
            <w:pPr>
              <w:jc w:val="center"/>
            </w:pPr>
            <w:r>
              <w:rPr>
                <w:rFonts w:ascii="宋体" w:hAnsi="宋体" w:eastAsia="宋体"/>
                <w:sz w:val="16"/>
              </w:rPr>
              <w:t>&gt;=28.38万枚</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DF4CE3A">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7BB0EA0">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D762E8C">
            <w:pPr>
              <w:jc w:val="center"/>
            </w:pPr>
            <w:r>
              <w:rPr>
                <w:rFonts w:ascii="宋体" w:hAnsi="宋体" w:eastAsia="宋体"/>
                <w:sz w:val="16"/>
              </w:rPr>
              <w:t>4</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662D4BE">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92759B8">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42CB81">
            <w:pPr>
              <w:jc w:val="center"/>
            </w:pPr>
            <w:r>
              <w:rPr>
                <w:rFonts w:ascii="宋体" w:hAnsi="宋体" w:eastAsia="宋体"/>
                <w:sz w:val="16"/>
              </w:rPr>
              <w:t>=28.38万枚</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E4218FC">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60F0870">
            <w:pPr>
              <w:jc w:val="center"/>
            </w:pPr>
            <w:r>
              <w:rPr>
                <w:rFonts w:ascii="宋体" w:hAnsi="宋体" w:eastAsia="宋体"/>
                <w:sz w:val="16"/>
              </w:rPr>
              <w:t>4</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4FBA6E32">
            <w:pPr>
              <w:jc w:val="center"/>
            </w:pPr>
          </w:p>
        </w:tc>
      </w:tr>
      <w:tr w14:paraId="1139705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0A05C83"/>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68312F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AE529DC"/>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D75B5D">
            <w:pPr>
              <w:jc w:val="center"/>
            </w:pPr>
            <w:r>
              <w:rPr>
                <w:rFonts w:ascii="宋体" w:hAnsi="宋体" w:eastAsia="宋体"/>
                <w:sz w:val="16"/>
              </w:rPr>
              <w:t>采购工作服数量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ED3ADF">
            <w:pPr>
              <w:jc w:val="center"/>
            </w:pPr>
            <w:r>
              <w:rPr>
                <w:rFonts w:ascii="宋体" w:hAnsi="宋体" w:eastAsia="宋体"/>
                <w:sz w:val="16"/>
              </w:rPr>
              <w:t>&gt;=15套</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9C07D66">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97D9250">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55F33F5">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15393E6">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A9283ED">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D9AE7B">
            <w:pPr>
              <w:jc w:val="center"/>
            </w:pPr>
            <w:r>
              <w:rPr>
                <w:rFonts w:ascii="宋体" w:hAnsi="宋体" w:eastAsia="宋体"/>
                <w:sz w:val="16"/>
              </w:rPr>
              <w:t>=15套</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1B58264">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B483FC">
            <w:pPr>
              <w:jc w:val="center"/>
            </w:pPr>
            <w:r>
              <w:rPr>
                <w:rFonts w:ascii="宋体" w:hAnsi="宋体" w:eastAsia="宋体"/>
                <w:sz w:val="16"/>
              </w:rPr>
              <w:t>5</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63CAC3D5">
            <w:pPr>
              <w:jc w:val="center"/>
            </w:pPr>
          </w:p>
        </w:tc>
      </w:tr>
      <w:tr w14:paraId="02E61AC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F408B0E"/>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01AEDD2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EB0BD2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9A12A7">
            <w:pPr>
              <w:jc w:val="center"/>
            </w:pPr>
            <w:r>
              <w:rPr>
                <w:rFonts w:ascii="宋体" w:hAnsi="宋体" w:eastAsia="宋体"/>
                <w:sz w:val="16"/>
              </w:rPr>
              <w:t>采购瘦肉精检测卡数量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EF7D3E">
            <w:pPr>
              <w:jc w:val="center"/>
            </w:pPr>
            <w:r>
              <w:rPr>
                <w:rFonts w:ascii="宋体" w:hAnsi="宋体" w:eastAsia="宋体"/>
                <w:sz w:val="16"/>
              </w:rPr>
              <w:t>&gt;=42盒</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CD68F5D">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0A523FC">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127340A">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3148186">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1FD041D">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31F717">
            <w:pPr>
              <w:jc w:val="center"/>
            </w:pPr>
            <w:r>
              <w:rPr>
                <w:rFonts w:ascii="宋体" w:hAnsi="宋体" w:eastAsia="宋体"/>
                <w:sz w:val="16"/>
              </w:rPr>
              <w:t>=42盒</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EF48479">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AEB6C56">
            <w:pPr>
              <w:jc w:val="center"/>
            </w:pPr>
            <w:r>
              <w:rPr>
                <w:rFonts w:ascii="宋体" w:hAnsi="宋体" w:eastAsia="宋体"/>
                <w:sz w:val="16"/>
              </w:rPr>
              <w:t>5</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49860377">
            <w:pPr>
              <w:jc w:val="center"/>
            </w:pPr>
          </w:p>
        </w:tc>
      </w:tr>
      <w:tr w14:paraId="3B1C8A1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450F2DD"/>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1BFBA1D"/>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CE2EBEA">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098252">
            <w:pPr>
              <w:jc w:val="center"/>
            </w:pPr>
            <w:r>
              <w:rPr>
                <w:rFonts w:ascii="宋体" w:hAnsi="宋体" w:eastAsia="宋体"/>
                <w:sz w:val="16"/>
              </w:rPr>
              <w:t>跨省调入动物流通监管率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5A60295">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3CFE5C4">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CA5E49C">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A04D264">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2FA9D32">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B3979B7">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E9956A">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7E3A324">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5A184D3">
            <w:pPr>
              <w:jc w:val="center"/>
            </w:pPr>
            <w:r>
              <w:rPr>
                <w:rFonts w:ascii="宋体" w:hAnsi="宋体" w:eastAsia="宋体"/>
                <w:sz w:val="16"/>
              </w:rPr>
              <w:t>5</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64CBB58F">
            <w:pPr>
              <w:jc w:val="center"/>
            </w:pPr>
          </w:p>
        </w:tc>
      </w:tr>
      <w:tr w14:paraId="608D97E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899B510"/>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4973622"/>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A422A6C">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0C34A9">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B005BE">
            <w:pPr>
              <w:jc w:val="center"/>
            </w:pPr>
            <w:r>
              <w:rPr>
                <w:rFonts w:ascii="宋体" w:hAnsi="宋体" w:eastAsia="宋体"/>
                <w:sz w:val="16"/>
              </w:rPr>
              <w:t>2024年12月25日</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113B93E">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FFB64BD">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60BC6C5">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599C903">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E49DF24">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7B7F6B">
            <w:pPr>
              <w:jc w:val="center"/>
            </w:pPr>
            <w:r>
              <w:rPr>
                <w:rFonts w:ascii="宋体" w:hAnsi="宋体" w:eastAsia="宋体"/>
                <w:sz w:val="16"/>
              </w:rPr>
              <w:t>=2024年12月25日</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374AFFB">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793F614">
            <w:pPr>
              <w:jc w:val="center"/>
            </w:pPr>
            <w:r>
              <w:rPr>
                <w:rFonts w:ascii="宋体" w:hAnsi="宋体" w:eastAsia="宋体"/>
                <w:sz w:val="16"/>
              </w:rPr>
              <w:t>5</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03AC9858">
            <w:pPr>
              <w:jc w:val="center"/>
            </w:pPr>
          </w:p>
        </w:tc>
      </w:tr>
      <w:tr w14:paraId="79AAC56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14CA39C"/>
        </w:tc>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E8B01">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25C1D">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4272CB">
            <w:pPr>
              <w:jc w:val="center"/>
            </w:pPr>
            <w:r>
              <w:rPr>
                <w:rFonts w:ascii="宋体" w:hAnsi="宋体" w:eastAsia="宋体"/>
                <w:sz w:val="16"/>
              </w:rPr>
              <w:t>采购牛耳标金额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98DBDF7">
            <w:pPr>
              <w:jc w:val="center"/>
            </w:pPr>
            <w:r>
              <w:rPr>
                <w:rFonts w:ascii="宋体" w:hAnsi="宋体" w:eastAsia="宋体"/>
                <w:sz w:val="16"/>
              </w:rPr>
              <w:t>&lt;=0.60万元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A481684">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6B1AB97">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0138654">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B509C78">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69C138F">
            <w:pPr>
              <w:jc w:val="center"/>
            </w:pPr>
            <w:r>
              <w:rPr>
                <w:rFonts w:ascii="宋体" w:hAnsi="宋体" w:eastAsia="宋体"/>
                <w:sz w:val="16"/>
              </w:rPr>
              <w:t>原始凭证,正式材料,工作资料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C9A2E9">
            <w:pPr>
              <w:jc w:val="center"/>
            </w:pPr>
            <w:r>
              <w:rPr>
                <w:rFonts w:ascii="宋体" w:hAnsi="宋体" w:eastAsia="宋体"/>
                <w:sz w:val="16"/>
              </w:rPr>
              <w:t>=0.6万元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89D30FE">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4EA6351">
            <w:pPr>
              <w:jc w:val="center"/>
            </w:pPr>
            <w:r>
              <w:rPr>
                <w:rFonts w:ascii="宋体" w:hAnsi="宋体" w:eastAsia="宋体"/>
                <w:sz w:val="16"/>
              </w:rPr>
              <w:t>2</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3A8EDD0A">
            <w:pPr>
              <w:jc w:val="center"/>
            </w:pPr>
          </w:p>
        </w:tc>
      </w:tr>
      <w:tr w14:paraId="3CD53EB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BF8B6F4"/>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25216ED4"/>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CE185A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532E81">
            <w:pPr>
              <w:jc w:val="center"/>
            </w:pPr>
            <w:r>
              <w:rPr>
                <w:rFonts w:ascii="宋体" w:hAnsi="宋体" w:eastAsia="宋体"/>
                <w:sz w:val="16"/>
              </w:rPr>
              <w:t>采购羊耳标金额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EC3105">
            <w:pPr>
              <w:jc w:val="center"/>
            </w:pPr>
            <w:r>
              <w:rPr>
                <w:rFonts w:ascii="宋体" w:hAnsi="宋体" w:eastAsia="宋体"/>
                <w:sz w:val="16"/>
              </w:rPr>
              <w:t>&lt;=1.6万元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C2E6D4B">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62A5420">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395584A">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CF015EC">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C8363D5">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2B213C">
            <w:pPr>
              <w:jc w:val="center"/>
            </w:pPr>
            <w:r>
              <w:rPr>
                <w:rFonts w:ascii="宋体" w:hAnsi="宋体" w:eastAsia="宋体"/>
                <w:sz w:val="16"/>
              </w:rPr>
              <w:t>=0.9万元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35A1801">
            <w:pPr>
              <w:jc w:val="center"/>
            </w:pPr>
            <w:r>
              <w:rPr>
                <w:rFonts w:ascii="宋体" w:hAnsi="宋体" w:eastAsia="宋体"/>
                <w:sz w:val="16"/>
              </w:rPr>
              <w:t>56%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3227C11">
            <w:pPr>
              <w:jc w:val="center"/>
            </w:pPr>
            <w:r>
              <w:rPr>
                <w:rFonts w:ascii="宋体" w:hAnsi="宋体" w:eastAsia="宋体"/>
                <w:sz w:val="16"/>
              </w:rPr>
              <w:t>5.6</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1AB640F9">
            <w:pPr>
              <w:jc w:val="center"/>
            </w:pPr>
            <w:r>
              <w:rPr>
                <w:rFonts w:ascii="宋体" w:hAnsi="宋体" w:eastAsia="宋体"/>
                <w:sz w:val="16"/>
              </w:rPr>
              <w:t>偏差原因：年初目标设置不精准，库存还剩有2023年度采购的羊耳标数量，因此无需多买</w:t>
            </w:r>
            <w:bookmarkStart w:id="0" w:name="_GoBack"/>
            <w:r>
              <w:rPr>
                <w:rFonts w:hint="eastAsia" w:ascii="宋体" w:hAnsi="宋体"/>
                <w:sz w:val="16"/>
                <w:lang w:eastAsia="zh-CN"/>
              </w:rPr>
              <w:t>，</w:t>
            </w:r>
            <w:bookmarkEnd w:id="0"/>
            <w:r>
              <w:rPr>
                <w:rFonts w:ascii="宋体" w:hAnsi="宋体" w:eastAsia="宋体"/>
                <w:sz w:val="16"/>
              </w:rPr>
              <w:t>改进措施：精准需求预测，定期复盘。</w:t>
            </w:r>
          </w:p>
        </w:tc>
      </w:tr>
      <w:tr w14:paraId="605196E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B7EA495"/>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1F7F61B"/>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1335AF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33BACD">
            <w:pPr>
              <w:jc w:val="center"/>
            </w:pPr>
            <w:r>
              <w:rPr>
                <w:rFonts w:ascii="宋体" w:hAnsi="宋体" w:eastAsia="宋体"/>
                <w:sz w:val="16"/>
              </w:rPr>
              <w:t>采购卡环金额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4C7C81">
            <w:pPr>
              <w:jc w:val="center"/>
            </w:pPr>
            <w:r>
              <w:rPr>
                <w:rFonts w:ascii="宋体" w:hAnsi="宋体" w:eastAsia="宋体"/>
                <w:sz w:val="16"/>
              </w:rPr>
              <w:t>&lt;=0.50万元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31A0DB6">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25F6321">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046EB25">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72ED9FF">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596F4C3">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221103">
            <w:pPr>
              <w:jc w:val="center"/>
            </w:pPr>
            <w:r>
              <w:rPr>
                <w:rFonts w:ascii="宋体" w:hAnsi="宋体" w:eastAsia="宋体"/>
                <w:sz w:val="16"/>
              </w:rPr>
              <w:t>=0.5万元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6F612FE">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0424795">
            <w:pPr>
              <w:jc w:val="center"/>
            </w:pPr>
            <w:r>
              <w:rPr>
                <w:rFonts w:ascii="宋体" w:hAnsi="宋体" w:eastAsia="宋体"/>
                <w:sz w:val="16"/>
              </w:rPr>
              <w:t>2</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40AA4FCE">
            <w:pPr>
              <w:jc w:val="center"/>
            </w:pPr>
          </w:p>
        </w:tc>
      </w:tr>
      <w:tr w14:paraId="048B1EC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469D349"/>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22A16C1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EAB7A8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092153">
            <w:pPr>
              <w:jc w:val="center"/>
            </w:pPr>
            <w:r>
              <w:rPr>
                <w:rFonts w:ascii="宋体" w:hAnsi="宋体" w:eastAsia="宋体"/>
                <w:sz w:val="16"/>
              </w:rPr>
              <w:t>动物检疫合格证（动物A）金额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6ED4DB">
            <w:pPr>
              <w:jc w:val="center"/>
            </w:pPr>
            <w:r>
              <w:rPr>
                <w:rFonts w:ascii="宋体" w:hAnsi="宋体" w:eastAsia="宋体"/>
                <w:sz w:val="16"/>
              </w:rPr>
              <w:t>&lt;=0.20万元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F8AE363">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90148B6">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6CF59C0">
            <w:pPr>
              <w:jc w:val="center"/>
            </w:pPr>
            <w:r>
              <w:rPr>
                <w:rFonts w:ascii="宋体" w:hAnsi="宋体" w:eastAsia="宋体"/>
                <w:sz w:val="16"/>
              </w:rPr>
              <w:t>1</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FA89FCB">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9E6314E">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FA31DE">
            <w:pPr>
              <w:jc w:val="center"/>
            </w:pPr>
            <w:r>
              <w:rPr>
                <w:rFonts w:ascii="宋体" w:hAnsi="宋体" w:eastAsia="宋体"/>
                <w:sz w:val="16"/>
              </w:rPr>
              <w:t>=0.2万元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465CBDF">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A16BAF6">
            <w:pPr>
              <w:jc w:val="center"/>
            </w:pPr>
            <w:r>
              <w:rPr>
                <w:rFonts w:ascii="宋体" w:hAnsi="宋体" w:eastAsia="宋体"/>
                <w:sz w:val="16"/>
              </w:rPr>
              <w:t>1</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5F685424">
            <w:pPr>
              <w:jc w:val="center"/>
            </w:pPr>
          </w:p>
        </w:tc>
      </w:tr>
      <w:tr w14:paraId="2FC7353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9E3857B"/>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4D0B6C59"/>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80216C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E33DB4">
            <w:pPr>
              <w:jc w:val="center"/>
            </w:pPr>
            <w:r>
              <w:rPr>
                <w:rFonts w:ascii="宋体" w:hAnsi="宋体" w:eastAsia="宋体"/>
                <w:sz w:val="16"/>
              </w:rPr>
              <w:t>标签（大，小）金额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C808F0">
            <w:pPr>
              <w:jc w:val="center"/>
            </w:pPr>
            <w:r>
              <w:rPr>
                <w:rFonts w:ascii="宋体" w:hAnsi="宋体" w:eastAsia="宋体"/>
                <w:sz w:val="16"/>
              </w:rPr>
              <w:t>&lt;=0.90万元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3D017C4">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D7018E7">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67852B7">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A82B4E5">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B355854">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34F793">
            <w:pPr>
              <w:jc w:val="center"/>
            </w:pPr>
            <w:r>
              <w:rPr>
                <w:rFonts w:ascii="宋体" w:hAnsi="宋体" w:eastAsia="宋体"/>
                <w:sz w:val="16"/>
              </w:rPr>
              <w:t>=0.9万元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35D5187">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62075DF">
            <w:pPr>
              <w:jc w:val="center"/>
            </w:pPr>
            <w:r>
              <w:rPr>
                <w:rFonts w:ascii="宋体" w:hAnsi="宋体" w:eastAsia="宋体"/>
                <w:sz w:val="16"/>
              </w:rPr>
              <w:t>2</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2D878B3D">
            <w:pPr>
              <w:jc w:val="center"/>
            </w:pPr>
          </w:p>
        </w:tc>
      </w:tr>
      <w:tr w14:paraId="45671C9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6448D99"/>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A7A8863"/>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97FD0AD"/>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5E6E28">
            <w:pPr>
              <w:jc w:val="center"/>
            </w:pPr>
            <w:r>
              <w:rPr>
                <w:rFonts w:ascii="宋体" w:hAnsi="宋体" w:eastAsia="宋体"/>
                <w:sz w:val="16"/>
              </w:rPr>
              <w:t>采购冬季工作服金额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E7E30E">
            <w:pPr>
              <w:jc w:val="center"/>
            </w:pPr>
            <w:r>
              <w:rPr>
                <w:rFonts w:ascii="宋体" w:hAnsi="宋体" w:eastAsia="宋体"/>
                <w:sz w:val="16"/>
              </w:rPr>
              <w:t>&lt;=0.15万元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B6A41BA">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6D63815">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0F68A9E">
            <w:pPr>
              <w:jc w:val="center"/>
            </w:pPr>
            <w:r>
              <w:rPr>
                <w:rFonts w:ascii="宋体" w:hAnsi="宋体" w:eastAsia="宋体"/>
                <w:sz w:val="16"/>
              </w:rPr>
              <w:t>1</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DD0E242">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4BB3B40">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D163E0">
            <w:pPr>
              <w:jc w:val="center"/>
            </w:pPr>
            <w:r>
              <w:rPr>
                <w:rFonts w:ascii="宋体" w:hAnsi="宋体" w:eastAsia="宋体"/>
                <w:sz w:val="16"/>
              </w:rPr>
              <w:t>=0.15万元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774A623">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FF68F20">
            <w:pPr>
              <w:jc w:val="center"/>
            </w:pPr>
            <w:r>
              <w:rPr>
                <w:rFonts w:ascii="宋体" w:hAnsi="宋体" w:eastAsia="宋体"/>
                <w:sz w:val="16"/>
              </w:rPr>
              <w:t>1</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19CC8BED">
            <w:pPr>
              <w:jc w:val="center"/>
            </w:pPr>
          </w:p>
        </w:tc>
      </w:tr>
      <w:tr w14:paraId="190806C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3DEEFF0"/>
        </w:tc>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5B75CEB"/>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D84145D"/>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5B2A73">
            <w:pPr>
              <w:jc w:val="center"/>
            </w:pPr>
            <w:r>
              <w:rPr>
                <w:rFonts w:ascii="宋体" w:hAnsi="宋体" w:eastAsia="宋体"/>
                <w:sz w:val="16"/>
              </w:rPr>
              <w:t>采购瘦肉精检测卡金额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E40A83">
            <w:pPr>
              <w:jc w:val="center"/>
            </w:pPr>
            <w:r>
              <w:rPr>
                <w:rFonts w:ascii="宋体" w:hAnsi="宋体" w:eastAsia="宋体"/>
                <w:sz w:val="16"/>
              </w:rPr>
              <w:t>&lt;=1.15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26F302E">
            <w:pPr>
              <w:jc w:val="center"/>
            </w:pPr>
            <w:r>
              <w:rPr>
                <w:rFonts w:ascii="宋体" w:hAnsi="宋体" w:eastAsia="宋体"/>
                <w:sz w:val="16"/>
              </w:rPr>
              <w:t>预算支出标准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AD564D2">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8231035">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B50C102">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7D1C7F6">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6375AA">
            <w:pPr>
              <w:jc w:val="center"/>
            </w:pPr>
            <w:r>
              <w:rPr>
                <w:rFonts w:ascii="宋体" w:hAnsi="宋体" w:eastAsia="宋体"/>
                <w:sz w:val="16"/>
              </w:rPr>
              <w:t>=1.15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C33016F">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230404A">
            <w:pPr>
              <w:jc w:val="center"/>
            </w:pPr>
            <w:r>
              <w:rPr>
                <w:rFonts w:ascii="宋体" w:hAnsi="宋体" w:eastAsia="宋体"/>
                <w:sz w:val="16"/>
              </w:rPr>
              <w:t>2</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63180750">
            <w:pPr>
              <w:jc w:val="center"/>
            </w:pPr>
          </w:p>
        </w:tc>
      </w:tr>
      <w:tr w14:paraId="241204C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51E000A"/>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BA3FC6F">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D12C104">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75DD65">
            <w:pPr>
              <w:jc w:val="center"/>
            </w:pPr>
            <w:r>
              <w:rPr>
                <w:rFonts w:ascii="宋体" w:hAnsi="宋体" w:eastAsia="宋体"/>
                <w:sz w:val="16"/>
              </w:rPr>
              <w:t>提高动物及动物产品质量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9AC5CF">
            <w:pPr>
              <w:jc w:val="center"/>
            </w:pPr>
            <w:r>
              <w:rPr>
                <w:rFonts w:ascii="宋体" w:hAnsi="宋体" w:eastAsia="宋体"/>
                <w:sz w:val="16"/>
              </w:rPr>
              <w:t>有效提高</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5DA554D">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788702C">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C81A3E2">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00C5A45">
            <w:pPr>
              <w:jc w:val="center"/>
            </w:pPr>
            <w:r>
              <w:rPr>
                <w:rFonts w:ascii="宋体" w:hAnsi="宋体" w:eastAsia="宋体"/>
                <w:sz w:val="16"/>
              </w:rPr>
              <w:t>按评判等级赋分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DE5FC9A">
            <w:pPr>
              <w:jc w:val="center"/>
            </w:pPr>
            <w:r>
              <w:rPr>
                <w:rFonts w:ascii="宋体" w:hAnsi="宋体" w:eastAsia="宋体"/>
                <w:sz w:val="16"/>
              </w:rPr>
              <w:t>说明材料,正式材料,工作资料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F77B35">
            <w:pPr>
              <w:jc w:val="center"/>
            </w:pPr>
            <w:r>
              <w:rPr>
                <w:rFonts w:ascii="宋体" w:hAnsi="宋体" w:eastAsia="宋体"/>
                <w:sz w:val="16"/>
              </w:rPr>
              <w:t>有效提高</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CC41345">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2F4FE45">
            <w:pPr>
              <w:jc w:val="center"/>
            </w:pPr>
            <w:r>
              <w:rPr>
                <w:rFonts w:ascii="宋体" w:hAnsi="宋体" w:eastAsia="宋体"/>
                <w:sz w:val="16"/>
              </w:rPr>
              <w:t>20</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782D081C">
            <w:pPr>
              <w:jc w:val="center"/>
            </w:pPr>
          </w:p>
        </w:tc>
      </w:tr>
      <w:tr w14:paraId="3AC03B8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8C4CE9C"/>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89BC316">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18957C8">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EBEBDC">
            <w:pPr>
              <w:jc w:val="center"/>
            </w:pPr>
            <w:r>
              <w:rPr>
                <w:rFonts w:ascii="宋体" w:hAnsi="宋体" w:eastAsia="宋体"/>
                <w:sz w:val="16"/>
              </w:rPr>
              <w:t>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16B92F">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FBCF59E">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7C8F32F">
            <w:pPr>
              <w:jc w:val="center"/>
            </w:pPr>
            <w:r>
              <w:rPr>
                <w:rFonts w:ascii="宋体" w:hAnsi="宋体" w:eastAsia="宋体"/>
                <w:sz w:val="16"/>
              </w:rPr>
              <w:t>上年无此值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63EE0F5">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DF29F2F">
            <w:pPr>
              <w:jc w:val="center"/>
            </w:pPr>
            <w:r>
              <w:rPr>
                <w:rFonts w:ascii="宋体" w:hAnsi="宋体" w:eastAsia="宋体"/>
                <w:sz w:val="16"/>
              </w:rPr>
              <w:t>满意度赋分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19ED4C2">
            <w:pPr>
              <w:jc w:val="center"/>
            </w:pPr>
            <w:r>
              <w:rPr>
                <w:rFonts w:ascii="宋体" w:hAnsi="宋体" w:eastAsia="宋体"/>
                <w:sz w:val="16"/>
              </w:rPr>
              <w:t>说明材料,正式材料,工作资料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5330B1">
            <w:pPr>
              <w:jc w:val="center"/>
            </w:pPr>
            <w:r>
              <w:rPr>
                <w:rFonts w:ascii="宋体" w:hAnsi="宋体" w:eastAsia="宋体"/>
                <w:sz w:val="16"/>
              </w:rPr>
              <w: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926FBC2">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EBE0E72">
            <w:pPr>
              <w:jc w:val="center"/>
            </w:pPr>
            <w:r>
              <w:rPr>
                <w:rFonts w:ascii="宋体" w:hAnsi="宋体" w:eastAsia="宋体"/>
                <w:sz w:val="16"/>
              </w:rPr>
              <w:t>10</w:t>
            </w:r>
          </w:p>
        </w:tc>
        <w:tc>
          <w:tcPr>
            <w:tcW w:w="833" w:type="dxa"/>
            <w:tcBorders>
              <w:top w:val="single" w:color="auto" w:sz="10" w:space="0"/>
              <w:left w:val="single" w:color="auto" w:sz="10" w:space="0"/>
              <w:bottom w:val="single" w:color="auto" w:sz="10" w:space="0"/>
              <w:right w:val="single" w:color="auto" w:sz="10" w:space="0"/>
              <w:insideV w:val="single" w:sz="10" w:space="0"/>
            </w:tcBorders>
            <w:vAlign w:val="center"/>
          </w:tcPr>
          <w:p w14:paraId="4BA889DA">
            <w:pPr>
              <w:jc w:val="center"/>
            </w:pPr>
          </w:p>
        </w:tc>
      </w:tr>
      <w:tr w14:paraId="1E2E3F50">
        <w:tblPrEx>
          <w:tblCellMar>
            <w:top w:w="0" w:type="dxa"/>
            <w:left w:w="108" w:type="dxa"/>
            <w:bottom w:w="0" w:type="dxa"/>
            <w:right w:w="108" w:type="dxa"/>
          </w:tblCellMar>
        </w:tblPrEx>
        <w:tc>
          <w:tcPr>
            <w:tcW w:w="255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39E8FA">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C12978F"/>
        </w:tc>
        <w:tc>
          <w:tcPr>
            <w:tcW w:w="615" w:type="dxa"/>
            <w:tcBorders>
              <w:top w:val="single" w:color="auto" w:sz="10" w:space="0"/>
              <w:left w:val="single" w:color="auto" w:sz="10" w:space="0"/>
              <w:bottom w:val="single" w:color="auto" w:sz="10" w:space="0"/>
              <w:right w:val="single" w:color="auto" w:sz="10" w:space="0"/>
              <w:insideV w:val="single" w:sz="10" w:space="0"/>
            </w:tcBorders>
          </w:tcPr>
          <w:p w14:paraId="6CD34D42"/>
        </w:tc>
        <w:tc>
          <w:tcPr>
            <w:tcW w:w="615" w:type="dxa"/>
            <w:tcBorders>
              <w:top w:val="single" w:color="auto" w:sz="10" w:space="0"/>
              <w:left w:val="single" w:color="auto" w:sz="10" w:space="0"/>
              <w:bottom w:val="single" w:color="auto" w:sz="10" w:space="0"/>
              <w:right w:val="single" w:color="auto" w:sz="10" w:space="0"/>
              <w:insideV w:val="single" w:sz="10" w:space="0"/>
            </w:tcBorders>
          </w:tcPr>
          <w:p w14:paraId="6BEB0FCA"/>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B3D0CE3">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tcPr>
          <w:p w14:paraId="1A44EDBE"/>
        </w:tc>
        <w:tc>
          <w:tcPr>
            <w:tcW w:w="620" w:type="dxa"/>
            <w:tcBorders>
              <w:top w:val="single" w:color="auto" w:sz="10" w:space="0"/>
              <w:left w:val="single" w:color="auto" w:sz="10" w:space="0"/>
              <w:bottom w:val="single" w:color="auto" w:sz="10" w:space="0"/>
              <w:right w:val="single" w:color="auto" w:sz="10" w:space="0"/>
              <w:insideV w:val="single" w:sz="10" w:space="0"/>
            </w:tcBorders>
          </w:tcPr>
          <w:p w14:paraId="3DD3B7C6"/>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9668DA6"/>
        </w:tc>
        <w:tc>
          <w:tcPr>
            <w:tcW w:w="626" w:type="dxa"/>
            <w:tcBorders>
              <w:top w:val="single" w:color="auto" w:sz="10" w:space="0"/>
              <w:left w:val="single" w:color="auto" w:sz="10" w:space="0"/>
              <w:bottom w:val="single" w:color="auto" w:sz="10" w:space="0"/>
              <w:right w:val="single" w:color="auto" w:sz="10" w:space="0"/>
              <w:insideV w:val="single" w:sz="10" w:space="0"/>
            </w:tcBorders>
          </w:tcPr>
          <w:p w14:paraId="39F21F4C"/>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67CB3DC">
            <w:pPr>
              <w:jc w:val="center"/>
            </w:pPr>
            <w:r>
              <w:rPr>
                <w:rFonts w:ascii="宋体" w:hAnsi="宋体" w:eastAsia="宋体"/>
                <w:sz w:val="16"/>
              </w:rPr>
              <w:t>93.68分</w:t>
            </w:r>
          </w:p>
        </w:tc>
        <w:tc>
          <w:tcPr>
            <w:tcW w:w="833" w:type="dxa"/>
            <w:tcBorders>
              <w:top w:val="single" w:color="auto" w:sz="10" w:space="0"/>
              <w:left w:val="single" w:color="auto" w:sz="10" w:space="0"/>
              <w:bottom w:val="single" w:color="auto" w:sz="10" w:space="0"/>
              <w:right w:val="single" w:color="auto" w:sz="10" w:space="0"/>
              <w:insideV w:val="single" w:sz="10" w:space="0"/>
            </w:tcBorders>
          </w:tcPr>
          <w:p w14:paraId="2F07C3E6"/>
        </w:tc>
      </w:tr>
    </w:tbl>
    <w:p w14:paraId="28DDADD4">
      <w:r>
        <w:br w:type="page"/>
      </w:r>
    </w:p>
    <w:p w14:paraId="3BA05011">
      <w:pPr>
        <w:spacing w:line="640" w:lineRule="exact"/>
        <w:ind w:firstLine="640"/>
        <w:jc w:val="both"/>
        <w:outlineLvl w:val="2"/>
      </w:pPr>
      <w:r>
        <w:rPr>
          <w:rFonts w:ascii="黑体" w:hAnsi="黑体" w:eastAsia="黑体"/>
          <w:sz w:val="32"/>
        </w:rPr>
        <w:t>十二、其他需说明的事项</w:t>
      </w:r>
    </w:p>
    <w:p w14:paraId="1C9628A3">
      <w:pPr>
        <w:spacing w:line="580" w:lineRule="exact"/>
        <w:ind w:firstLine="640"/>
        <w:jc w:val="both"/>
      </w:pPr>
      <w:r>
        <w:rPr>
          <w:rFonts w:ascii="仿宋_GB2312" w:hAnsi="仿宋_GB2312" w:eastAsia="仿宋_GB2312"/>
          <w:b w:val="0"/>
          <w:sz w:val="32"/>
        </w:rPr>
        <w:t>本单位无其他需说明的事项。</w:t>
      </w:r>
    </w:p>
    <w:p w14:paraId="2734D0BD">
      <w:r>
        <w:br w:type="page"/>
      </w:r>
    </w:p>
    <w:p w14:paraId="2552156D">
      <w:pPr>
        <w:spacing w:line="240" w:lineRule="auto"/>
        <w:jc w:val="center"/>
        <w:outlineLvl w:val="1"/>
      </w:pPr>
      <w:r>
        <w:rPr>
          <w:rFonts w:ascii="黑体" w:hAnsi="黑体" w:eastAsia="黑体"/>
          <w:sz w:val="32"/>
        </w:rPr>
        <w:t>第三部分 专业名词解释</w:t>
      </w:r>
    </w:p>
    <w:p w14:paraId="5467A9A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04CB0F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BDB61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8FFDDA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C9B843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12E3F0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B34C4F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EF10C0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C2C21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2D88D1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B8FB21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6A5D32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DCCBF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7B639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2591C4">
      <w:r>
        <w:br w:type="page"/>
      </w:r>
    </w:p>
    <w:p w14:paraId="09818E83">
      <w:pPr>
        <w:spacing w:line="240" w:lineRule="auto"/>
        <w:jc w:val="center"/>
        <w:outlineLvl w:val="1"/>
      </w:pPr>
      <w:r>
        <w:rPr>
          <w:rFonts w:ascii="黑体" w:hAnsi="黑体" w:eastAsia="黑体"/>
          <w:sz w:val="32"/>
        </w:rPr>
        <w:t>第四部分 部门决算报表（见附表）</w:t>
      </w:r>
    </w:p>
    <w:p w14:paraId="5CE69514">
      <w:pPr>
        <w:spacing w:line="240" w:lineRule="auto"/>
        <w:ind w:firstLine="640"/>
        <w:jc w:val="both"/>
      </w:pPr>
      <w:r>
        <w:rPr>
          <w:rFonts w:ascii="仿宋_GB2312" w:hAnsi="仿宋_GB2312" w:eastAsia="仿宋_GB2312"/>
          <w:b w:val="0"/>
          <w:sz w:val="32"/>
        </w:rPr>
        <w:t>一、《收入支出决算总表》</w:t>
      </w:r>
    </w:p>
    <w:p w14:paraId="546FCAA2">
      <w:pPr>
        <w:spacing w:line="240" w:lineRule="auto"/>
        <w:ind w:firstLine="640"/>
        <w:jc w:val="both"/>
      </w:pPr>
      <w:r>
        <w:rPr>
          <w:rFonts w:ascii="仿宋_GB2312" w:hAnsi="仿宋_GB2312" w:eastAsia="仿宋_GB2312"/>
          <w:b w:val="0"/>
          <w:sz w:val="32"/>
        </w:rPr>
        <w:t>二、《收入决算表》</w:t>
      </w:r>
    </w:p>
    <w:p w14:paraId="6D35A1C8">
      <w:pPr>
        <w:spacing w:line="240" w:lineRule="auto"/>
        <w:ind w:firstLine="640"/>
        <w:jc w:val="both"/>
      </w:pPr>
      <w:r>
        <w:rPr>
          <w:rFonts w:ascii="仿宋_GB2312" w:hAnsi="仿宋_GB2312" w:eastAsia="仿宋_GB2312"/>
          <w:b w:val="0"/>
          <w:sz w:val="32"/>
        </w:rPr>
        <w:t>三、《支出决算表》</w:t>
      </w:r>
    </w:p>
    <w:p w14:paraId="68CD35EC">
      <w:pPr>
        <w:spacing w:line="240" w:lineRule="auto"/>
        <w:ind w:firstLine="640"/>
        <w:jc w:val="both"/>
      </w:pPr>
      <w:r>
        <w:rPr>
          <w:rFonts w:ascii="仿宋_GB2312" w:hAnsi="仿宋_GB2312" w:eastAsia="仿宋_GB2312"/>
          <w:b w:val="0"/>
          <w:sz w:val="32"/>
        </w:rPr>
        <w:t>四、《财政拨款收入支出决算总表》</w:t>
      </w:r>
    </w:p>
    <w:p w14:paraId="758F7AFD">
      <w:pPr>
        <w:spacing w:line="240" w:lineRule="auto"/>
        <w:ind w:firstLine="640"/>
        <w:jc w:val="both"/>
      </w:pPr>
      <w:r>
        <w:rPr>
          <w:rFonts w:ascii="仿宋_GB2312" w:hAnsi="仿宋_GB2312" w:eastAsia="仿宋_GB2312"/>
          <w:b w:val="0"/>
          <w:sz w:val="32"/>
        </w:rPr>
        <w:t>五、《一般公共预算财政拨款支出决算表》</w:t>
      </w:r>
    </w:p>
    <w:p w14:paraId="2E6C6D8E">
      <w:pPr>
        <w:spacing w:line="240" w:lineRule="auto"/>
        <w:ind w:firstLine="640"/>
        <w:jc w:val="both"/>
      </w:pPr>
      <w:r>
        <w:rPr>
          <w:rFonts w:ascii="仿宋_GB2312" w:hAnsi="仿宋_GB2312" w:eastAsia="仿宋_GB2312"/>
          <w:b w:val="0"/>
          <w:sz w:val="32"/>
        </w:rPr>
        <w:t>六、《一般公共预算财政拨款基本支出决算表》</w:t>
      </w:r>
    </w:p>
    <w:p w14:paraId="10BFB692">
      <w:pPr>
        <w:spacing w:line="240" w:lineRule="auto"/>
        <w:ind w:firstLine="640"/>
        <w:jc w:val="both"/>
      </w:pPr>
      <w:r>
        <w:rPr>
          <w:rFonts w:ascii="仿宋_GB2312" w:hAnsi="仿宋_GB2312" w:eastAsia="仿宋_GB2312"/>
          <w:b w:val="0"/>
          <w:sz w:val="32"/>
        </w:rPr>
        <w:t>七、《政府性基金预算财政拨款收入支出决算表》</w:t>
      </w:r>
    </w:p>
    <w:p w14:paraId="68855DCE">
      <w:pPr>
        <w:spacing w:line="240" w:lineRule="auto"/>
        <w:ind w:firstLine="640"/>
        <w:jc w:val="both"/>
      </w:pPr>
      <w:r>
        <w:rPr>
          <w:rFonts w:ascii="仿宋_GB2312" w:hAnsi="仿宋_GB2312" w:eastAsia="仿宋_GB2312"/>
          <w:b w:val="0"/>
          <w:sz w:val="32"/>
        </w:rPr>
        <w:t>八、《国有资本经营预算财政拨款收入支出决算表》</w:t>
      </w:r>
    </w:p>
    <w:p w14:paraId="395D6C73">
      <w:pPr>
        <w:spacing w:line="240" w:lineRule="auto"/>
        <w:ind w:firstLine="640"/>
        <w:jc w:val="both"/>
      </w:pPr>
      <w:r>
        <w:rPr>
          <w:rFonts w:ascii="仿宋_GB2312" w:hAnsi="仿宋_GB2312" w:eastAsia="仿宋_GB2312"/>
          <w:b w:val="0"/>
          <w:sz w:val="32"/>
        </w:rPr>
        <w:t>九、《财政拨款“三公”经费支出决算表》</w:t>
      </w:r>
    </w:p>
    <w:p w14:paraId="6D4F336F">
      <w:pPr>
        <w:spacing w:line="240" w:lineRule="auto"/>
        <w:ind w:firstLine="640"/>
        <w:jc w:val="both"/>
      </w:pPr>
    </w:p>
    <w:p w14:paraId="1BFBF71F">
      <w:pPr>
        <w:spacing w:line="240" w:lineRule="auto"/>
        <w:ind w:firstLine="640"/>
        <w:jc w:val="both"/>
      </w:pPr>
    </w:p>
    <w:p w14:paraId="028519EB">
      <w:pPr>
        <w:spacing w:line="240" w:lineRule="auto"/>
        <w:ind w:firstLine="640"/>
        <w:jc w:val="both"/>
      </w:pPr>
    </w:p>
    <w:p w14:paraId="0EF06322">
      <w:pPr>
        <w:spacing w:line="240" w:lineRule="auto"/>
        <w:ind w:firstLine="640"/>
        <w:jc w:val="both"/>
      </w:pPr>
    </w:p>
    <w:p w14:paraId="6A04EA9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344AD1-576F-43A4-B83D-CD52A75E40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9CB60D1-BD27-4879-BAC9-F3A6975B3B6D}"/>
  </w:font>
  <w:font w:name="仿宋_GB2312">
    <w:altName w:val="仿宋"/>
    <w:panose1 w:val="02010609030101010101"/>
    <w:charset w:val="86"/>
    <w:family w:val="modern"/>
    <w:pitch w:val="default"/>
    <w:sig w:usb0="00000000" w:usb1="00000000" w:usb2="00000000" w:usb3="00000000" w:csb0="00040000" w:csb1="00000000"/>
    <w:embedRegular r:id="rId3" w:fontKey="{87BD526A-7563-48F9-B891-D42221F75CAA}"/>
  </w:font>
  <w:font w:name="楷体_GB2312">
    <w:altName w:val="楷体"/>
    <w:panose1 w:val="00000000000000000000"/>
    <w:charset w:val="00"/>
    <w:family w:val="auto"/>
    <w:pitch w:val="default"/>
    <w:sig w:usb0="00000000" w:usb1="00000000" w:usb2="00000000" w:usb3="00000000" w:csb0="00000000" w:csb1="00000000"/>
    <w:embedRegular r:id="rId4" w:fontKey="{FBEE65AF-A749-490F-85AA-8BCBB81E4031}"/>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2A05AD"/>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4658</Words>
  <Characters>5286</Characters>
  <Lines>0</Lines>
  <Paragraphs>0</Paragraphs>
  <TotalTime>2</TotalTime>
  <ScaleCrop>false</ScaleCrop>
  <LinksUpToDate>false</LinksUpToDate>
  <CharactersWithSpaces>5294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