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553610"/>
    <w:p w14:paraId="18C8F7D7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2C8A2322">
      <w:pPr>
        <w:spacing w:line="540" w:lineRule="exact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32404E11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76920DF6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5E1D79DF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</w:rPr>
      </w:pP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2024年中央补助地方公共文化服务体系建设补助资金（农家书屋）</w:t>
      </w:r>
    </w:p>
    <w:p w14:paraId="55C3788B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</w:rPr>
      </w:pP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项目支出绩效评价报告</w:t>
      </w:r>
    </w:p>
    <w:p w14:paraId="7A005EBC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1BA35AD1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（202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年度）</w:t>
      </w:r>
    </w:p>
    <w:p w14:paraId="50F1391C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6703A4E8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3F11EE4B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75ECED02">
      <w:pPr>
        <w:pStyle w:val="10"/>
        <w:rPr>
          <w:rFonts w:hint="default" w:ascii="Times New Roman" w:hAnsi="Times New Roman" w:cs="Times New Roman"/>
        </w:rPr>
      </w:pPr>
    </w:p>
    <w:p w14:paraId="2814D631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1F3DD8C2">
      <w:pPr>
        <w:spacing w:line="540" w:lineRule="exact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399A009C">
      <w:pPr>
        <w:pStyle w:val="3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21" w:lineRule="atLeast"/>
        <w:ind w:left="0" w:right="0" w:firstLine="0"/>
        <w:rPr>
          <w:rFonts w:hint="eastAsia" w:ascii="sans-serif" w:hAnsi="sans-serif" w:eastAsia="仿宋_GB2312" w:cs="sans-serif"/>
          <w:i w:val="0"/>
          <w:iCs w:val="0"/>
          <w:caps w:val="0"/>
          <w:color w:val="333333"/>
          <w:spacing w:val="0"/>
          <w:sz w:val="27"/>
          <w:szCs w:val="27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项目名称：2024年中央补助地方公共文化服务体系建设补助资金（农家书屋）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  <w:lang w:eastAsia="zh-CN"/>
        </w:rPr>
        <w:t>项目</w:t>
      </w:r>
    </w:p>
    <w:p w14:paraId="0128A775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</w:p>
    <w:p w14:paraId="055DF7AF">
      <w:pPr>
        <w:spacing w:line="700" w:lineRule="exact"/>
        <w:ind w:firstLine="1440" w:firstLineChars="400"/>
        <w:jc w:val="left"/>
        <w:rPr>
          <w:rFonts w:hint="eastAsia" w:ascii="Times New Roman" w:hAnsi="Times New Roman" w:eastAsia="仿宋_GB2312" w:cs="Times New Roman"/>
          <w:kern w:val="0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实施单位（公章）：</w:t>
      </w:r>
      <w:r>
        <w:rPr>
          <w:rFonts w:hint="eastAsia" w:eastAsia="仿宋_GB2312" w:cs="Times New Roman"/>
          <w:kern w:val="0"/>
          <w:sz w:val="36"/>
          <w:szCs w:val="36"/>
          <w:lang w:eastAsia="zh-CN"/>
        </w:rPr>
        <w:t>中共托里县委宣传部</w:t>
      </w:r>
    </w:p>
    <w:p w14:paraId="0E7F596E">
      <w:pPr>
        <w:spacing w:line="700" w:lineRule="exact"/>
        <w:ind w:firstLine="1440" w:firstLineChars="400"/>
        <w:jc w:val="left"/>
        <w:rPr>
          <w:rFonts w:hint="eastAsia" w:ascii="Times New Roman" w:hAnsi="Times New Roman" w:eastAsia="仿宋_GB2312" w:cs="Times New Roman"/>
          <w:kern w:val="0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主管部门（公章）：</w:t>
      </w:r>
      <w:r>
        <w:rPr>
          <w:rFonts w:hint="eastAsia" w:eastAsia="仿宋_GB2312" w:cs="Times New Roman"/>
          <w:kern w:val="0"/>
          <w:sz w:val="36"/>
          <w:szCs w:val="36"/>
          <w:lang w:eastAsia="zh-CN"/>
        </w:rPr>
        <w:t>中共托里县委</w:t>
      </w:r>
    </w:p>
    <w:p w14:paraId="0F5DBED1">
      <w:pPr>
        <w:spacing w:line="700" w:lineRule="exact"/>
        <w:ind w:firstLine="1440" w:firstLineChars="400"/>
        <w:jc w:val="left"/>
        <w:rPr>
          <w:rFonts w:hint="eastAsia" w:ascii="Times New Roman" w:hAnsi="Times New Roman" w:eastAsia="仿宋_GB2312" w:cs="Times New Roman"/>
          <w:kern w:val="0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项目负责人（签章）：</w:t>
      </w:r>
      <w:r>
        <w:rPr>
          <w:rFonts w:hint="eastAsia" w:eastAsia="仿宋_GB2312" w:cs="Times New Roman"/>
          <w:kern w:val="0"/>
          <w:sz w:val="36"/>
          <w:szCs w:val="36"/>
          <w:lang w:eastAsia="zh-CN"/>
        </w:rPr>
        <w:t>陈路蔓</w:t>
      </w:r>
    </w:p>
    <w:p w14:paraId="1751DB96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填报时间：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03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月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17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日</w:t>
      </w:r>
    </w:p>
    <w:p w14:paraId="00762B71">
      <w:pPr>
        <w:spacing w:line="700" w:lineRule="exact"/>
        <w:ind w:firstLine="1280" w:firstLineChars="400"/>
        <w:jc w:val="left"/>
        <w:rPr>
          <w:rFonts w:hint="default" w:ascii="Times New Roman" w:hAnsi="Times New Roman" w:eastAsia="黑体" w:cs="Times New Roman"/>
          <w:bCs/>
          <w:sz w:val="32"/>
          <w:szCs w:val="32"/>
        </w:rPr>
      </w:pPr>
      <w:bookmarkStart w:id="1" w:name="_GoBack"/>
      <w:bookmarkEnd w:id="1"/>
      <w:r>
        <w:rPr>
          <w:rFonts w:hint="default" w:ascii="Times New Roman" w:hAnsi="Times New Roman" w:eastAsia="黑体" w:cs="Times New Roman"/>
          <w:bCs/>
          <w:sz w:val="32"/>
          <w:szCs w:val="32"/>
        </w:rPr>
        <w:t>一、基本情况</w:t>
      </w:r>
    </w:p>
    <w:p w14:paraId="2DC6905E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（一）项目概况</w:t>
      </w:r>
    </w:p>
    <w:p w14:paraId="098914C2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项目背景</w:t>
      </w:r>
    </w:p>
    <w:p w14:paraId="1A0124D8">
      <w:pPr>
        <w:pStyle w:val="10"/>
        <w:numPr>
          <w:ilvl w:val="0"/>
          <w:numId w:val="0"/>
        </w:numPr>
        <w:spacing w:before="0" w:after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中共中央、国务院出台《关于推进社会主义新农村建设的若干意见》和《关于进一步加强农村文化建设的意见》，强调农村文化建设的重要性，为解决农民“买书难、借书难、看书难”的问题，2007年3月，多部门联合发出通知，开始实施“农家书屋”工程。</w:t>
      </w:r>
    </w:p>
    <w:p w14:paraId="0F59AD37">
      <w:pPr>
        <w:pStyle w:val="10"/>
        <w:numPr>
          <w:ilvl w:val="0"/>
          <w:numId w:val="0"/>
        </w:numPr>
        <w:spacing w:before="0" w:after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随着农村经济发展，农民对文化知识的需求日益增长，渴望通过阅读提升自身素质、改变命运，但农村图书资源匮乏，人均拥有图书量少，且农村文化设施和服务相对薄弱，无法满足农民的精神文化需求。</w:t>
      </w:r>
    </w:p>
    <w:p w14:paraId="147CBA55">
      <w:pPr>
        <w:pStyle w:val="10"/>
        <w:numPr>
          <w:ilvl w:val="0"/>
          <w:numId w:val="0"/>
        </w:numPr>
        <w:spacing w:before="0" w:after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从贯彻“三个代表”重要思想和科学发展观来看，农村的全面协调发展，政治、经济、文化的协调发展，是实现现代化的重要保证。建设社会主义新农村包含文化建设，农家书屋是农村文化建设的重要举措，有助于保障农民群众基本文化权益，推动农村经济社会发展和社会主义和谐社会建设。</w:t>
      </w:r>
    </w:p>
    <w:p w14:paraId="60D16F00">
      <w:pPr>
        <w:pStyle w:val="10"/>
        <w:numPr>
          <w:ilvl w:val="0"/>
          <w:numId w:val="0"/>
        </w:numPr>
        <w:spacing w:before="0" w:after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 xml:space="preserve"> 习近平总书记强调“要推进城乡公共文化服务体系一体建设，优化城乡文化资源配置，完善农村文化基础设施网络，增加农村公共文化服务总量供给，缩小城乡公共文化服务差距”，这为农家书屋在完善农村文化设施、均衡城乡文化资源方面指明了方向。他还指出“希望孩子们养成阅读习惯，快乐阅读，健康成长；希望全社会都参与到阅读中来，形成爱读书、读好书、善读书的浓厚氛围”，农家书屋作为农村重要的文化场所，是培养农村孩子阅读习惯、推动农村全民阅读的重要阵地。此外，习近平总书记关于乡村振兴要“塑形”也要“铸魂”，以及深入挖掘、继承、创新优秀传统乡土文化等论述，也为农家书屋在传承乡村文化、助力乡村振兴方面赋予了重要使命。</w:t>
      </w:r>
    </w:p>
    <w:p w14:paraId="708AD780">
      <w:pPr>
        <w:pStyle w:val="10"/>
        <w:numPr>
          <w:ilvl w:val="0"/>
          <w:numId w:val="0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仿宋_GB2312" w:cs="Times New Roman"/>
          <w:kern w:val="2"/>
        </w:rPr>
      </w:pPr>
      <w:r>
        <w:rPr>
          <w:rFonts w:hint="default" w:ascii="Times New Roman" w:hAnsi="Times New Roman" w:eastAsia="仿宋_GB2312" w:cs="Times New Roman"/>
          <w:kern w:val="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kern w:val="2"/>
        </w:rPr>
        <w:t>项目主要内容：</w:t>
      </w:r>
    </w:p>
    <w:p w14:paraId="1D28352B">
      <w:pPr>
        <w:spacing w:line="560" w:lineRule="exact"/>
        <w:ind w:firstLine="600" w:firstLineChars="200"/>
        <w:rPr>
          <w:rFonts w:hint="default" w:ascii="Times New Roman" w:hAnsi="Times New Roman" w:eastAsia="黑体" w:cs="Times New Roman"/>
          <w:highlight w:val="yellow"/>
          <w:lang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项目主要内容：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安排我单位下达了农家书屋出版物更新补充资金13.20万元</w:t>
      </w:r>
      <w:r>
        <w:rPr>
          <w:rFonts w:hint="eastAsia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每个行政村2000元/每年。</w:t>
      </w:r>
    </w:p>
    <w:p w14:paraId="60F6ACD2">
      <w:pPr>
        <w:spacing w:line="560" w:lineRule="exact"/>
        <w:ind w:firstLine="640" w:firstLineChars="200"/>
        <w:rPr>
          <w:rStyle w:val="16"/>
          <w:rFonts w:hint="default" w:ascii="Times New Roman" w:hAnsi="Times New Roman" w:eastAsia="黑体" w:cs="Times New Roman"/>
          <w:b w:val="0"/>
          <w:bCs/>
          <w:spacing w:val="-4"/>
          <w:sz w:val="32"/>
          <w:szCs w:val="32"/>
          <w:highlight w:val="yellow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项目实施情况：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该项目13.20万元，普及行政村66个、购置图书种类60种以上、购置图书费用13.20万元，认真落实自治区党委宣传部下发的文件要求，丰富农家书屋内容供给，进一步推进农家书屋深化改革创新、提升服务效能，不断补充完善基层农家书屋书籍种类，不断进一步丰富群众的精神文化生活。</w:t>
      </w:r>
    </w:p>
    <w:p w14:paraId="1E82ADAE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资金投入和使用情况</w:t>
      </w:r>
    </w:p>
    <w:p w14:paraId="584BAF9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（1）资金投入情况</w:t>
      </w:r>
    </w:p>
    <w:p w14:paraId="450A8292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该项目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年初预算数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13.2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万元，全年预算数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13.2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万元，该项目资金已全部落实到位，资金来源为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财政拨款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。</w:t>
      </w:r>
    </w:p>
    <w:p w14:paraId="4452B7E1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（2）资金使用情况</w:t>
      </w:r>
    </w:p>
    <w:p w14:paraId="2EA99714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该项目年初预算数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13.2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万元，全年预算数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13.2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，全年执行数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13.2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万元，预算执行率为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%，主要用于：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购置66个行政村农家书屋图书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。</w:t>
      </w:r>
    </w:p>
    <w:p w14:paraId="7FBD0600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（二）项目绩效目标</w:t>
      </w:r>
    </w:p>
    <w:p w14:paraId="54A5E2FD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总体目标</w:t>
      </w:r>
    </w:p>
    <w:p w14:paraId="21F61263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该项目13.20万元，普及行政村66个、购置图书种类60种以上、购置图书费用13.20万元，认真落实自治区党委宣传部下发的文件要求，丰富农家书屋内容供给，进一步推进农家书屋深化改革创新、提升服务效能，不断补充完善基层农家书屋书籍种类，不断进一步丰富群众的精神文化生活。农牧民满意度95%。</w:t>
      </w:r>
    </w:p>
    <w:p w14:paraId="4B32FBF3"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阶段性目标</w:t>
      </w:r>
    </w:p>
    <w:p w14:paraId="5F62BBEB"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eastAsia="仿宋_GB2312" w:cs="Times New Roman"/>
          <w:sz w:val="32"/>
          <w:szCs w:val="32"/>
          <w:lang w:val="en-US" w:eastAsia="zh-CN"/>
        </w:rPr>
      </w:pPr>
      <w:r>
        <w:rPr>
          <w:rFonts w:hint="default" w:eastAsia="仿宋_GB2312" w:cs="Times New Roman"/>
          <w:sz w:val="32"/>
          <w:szCs w:val="32"/>
          <w:lang w:val="en-US" w:eastAsia="zh-CN"/>
        </w:rPr>
        <w:t>1. 基础配备阶段</w:t>
      </w:r>
    </w:p>
    <w:p w14:paraId="10247D93"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eastAsia="仿宋_GB2312" w:cs="Times New Roman"/>
          <w:sz w:val="32"/>
          <w:szCs w:val="32"/>
          <w:lang w:val="en-US" w:eastAsia="zh-CN"/>
        </w:rPr>
      </w:pPr>
      <w:r>
        <w:rPr>
          <w:rFonts w:hint="default" w:eastAsia="仿宋_GB2312" w:cs="Times New Roman"/>
          <w:sz w:val="32"/>
          <w:szCs w:val="32"/>
          <w:lang w:val="en-US" w:eastAsia="zh-CN"/>
        </w:rPr>
        <w:t>完成首批图书采购，确保每个农家书屋实用图书不少于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60个种类</w:t>
      </w:r>
      <w:r>
        <w:rPr>
          <w:rFonts w:hint="default" w:eastAsia="仿宋_GB2312" w:cs="Times New Roman"/>
          <w:sz w:val="32"/>
          <w:szCs w:val="32"/>
          <w:lang w:val="en-US" w:eastAsia="zh-CN"/>
        </w:rPr>
        <w:t xml:space="preserve">，涵盖农业技术、文化教育、农村医疗卫生、法律常识、青少年读物等基础类别，满足村民基础阅读需求。 </w:t>
      </w:r>
    </w:p>
    <w:p w14:paraId="7E36211A"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在图书选择上</w:t>
      </w:r>
      <w:r>
        <w:rPr>
          <w:rFonts w:hint="default" w:eastAsia="仿宋_GB2312" w:cs="Times New Roman"/>
          <w:sz w:val="32"/>
          <w:szCs w:val="32"/>
          <w:lang w:val="en-US" w:eastAsia="zh-CN"/>
        </w:rPr>
        <w:t>优先选择正规出版社出版、内容权威的图书，杜绝盗版、劣质书籍。</w:t>
      </w:r>
    </w:p>
    <w:p w14:paraId="36169DB4"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eastAsia="仿宋_GB2312" w:cs="Times New Roman"/>
          <w:sz w:val="32"/>
          <w:szCs w:val="32"/>
          <w:lang w:val="en-US" w:eastAsia="zh-CN"/>
        </w:rPr>
      </w:pPr>
      <w:r>
        <w:rPr>
          <w:rFonts w:hint="default" w:eastAsia="仿宋_GB2312" w:cs="Times New Roman"/>
          <w:sz w:val="32"/>
          <w:szCs w:val="32"/>
          <w:lang w:val="en-US" w:eastAsia="zh-CN"/>
        </w:rPr>
        <w:t xml:space="preserve">2. 动态优化阶段 </w:t>
      </w:r>
    </w:p>
    <w:p w14:paraId="1A89C6B5"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eastAsia="仿宋_GB2312" w:cs="Times New Roman"/>
          <w:sz w:val="32"/>
          <w:szCs w:val="32"/>
          <w:lang w:val="en-US" w:eastAsia="zh-CN"/>
        </w:rPr>
      </w:pPr>
      <w:r>
        <w:rPr>
          <w:rFonts w:hint="default" w:eastAsia="仿宋_GB2312" w:cs="Times New Roman"/>
          <w:sz w:val="32"/>
          <w:szCs w:val="32"/>
          <w:lang w:val="en-US" w:eastAsia="zh-CN"/>
        </w:rPr>
        <w:t>通过问卷调查、借阅记录分析等方式收集村民阅读反馈，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计划后期</w:t>
      </w:r>
      <w:r>
        <w:rPr>
          <w:rFonts w:hint="default" w:eastAsia="仿宋_GB2312" w:cs="Times New Roman"/>
          <w:sz w:val="32"/>
          <w:szCs w:val="32"/>
          <w:lang w:val="en-US" w:eastAsia="zh-CN"/>
        </w:rPr>
        <w:t xml:space="preserve">对图书进行一次优化补充，淘汰借阅率低的陈旧书籍，新增符合村民需求的图书。 </w:t>
      </w:r>
    </w:p>
    <w:p w14:paraId="18E05578"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eastAsia="仿宋_GB2312" w:cs="Times New Roman"/>
          <w:sz w:val="32"/>
          <w:szCs w:val="32"/>
          <w:lang w:val="en-US" w:eastAsia="zh-CN"/>
        </w:rPr>
      </w:pPr>
      <w:r>
        <w:rPr>
          <w:rFonts w:hint="default" w:eastAsia="仿宋_GB2312" w:cs="Times New Roman"/>
          <w:sz w:val="32"/>
          <w:szCs w:val="32"/>
          <w:lang w:val="en-US" w:eastAsia="zh-CN"/>
        </w:rPr>
        <w:t xml:space="preserve">3. 特色深化阶段 </w:t>
      </w:r>
    </w:p>
    <w:p w14:paraId="2AB0209C"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eastAsia="仿宋_GB2312" w:cs="Times New Roman"/>
          <w:sz w:val="32"/>
          <w:szCs w:val="32"/>
          <w:lang w:val="en-US" w:eastAsia="zh-CN"/>
        </w:rPr>
      </w:pPr>
      <w:r>
        <w:rPr>
          <w:rFonts w:hint="default" w:eastAsia="仿宋_GB2312" w:cs="Times New Roman"/>
          <w:sz w:val="32"/>
          <w:szCs w:val="32"/>
          <w:lang w:val="en-US" w:eastAsia="zh-CN"/>
        </w:rPr>
        <w:t>围绕本地文化、产业特色，打造主题图书专区。如传统手工艺村落增加非遗文化、手工艺品制作类图书；旅游村增设旅游攻略、民宿经营管理类书籍。</w:t>
      </w:r>
    </w:p>
    <w:p w14:paraId="71A712BE"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eastAsia="仿宋_GB2312" w:cs="Times New Roman"/>
          <w:sz w:val="32"/>
          <w:szCs w:val="32"/>
          <w:lang w:val="en-US" w:eastAsia="zh-CN"/>
        </w:rPr>
      </w:pPr>
      <w:r>
        <w:rPr>
          <w:rFonts w:hint="default" w:eastAsia="仿宋_GB2312" w:cs="Times New Roman"/>
          <w:sz w:val="32"/>
          <w:szCs w:val="32"/>
          <w:lang w:val="en-US" w:eastAsia="zh-CN"/>
        </w:rPr>
        <w:t>每年引入1 - 2套农业领域权威工具书（如《中国农业百科全书》）、经典文化系列丛书（如“四大名著”精读版），提升藏书品质和深度，满足村民进阶阅读需求。</w:t>
      </w:r>
    </w:p>
    <w:p w14:paraId="52B8DF58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二、绩效评价工作开展情况</w:t>
      </w:r>
    </w:p>
    <w:p w14:paraId="04EE172A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（一）绩效评价目的、对象和范围</w:t>
      </w:r>
    </w:p>
    <w:p w14:paraId="49993C98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1.绩效评价完整性</w:t>
      </w:r>
    </w:p>
    <w:p w14:paraId="6C5D7536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 w14:paraId="70C88098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在评价指标体系的构建上，充分考虑了项目的性质、目标以及预期成果，选取了具有代表性和可衡量性的关键指标，涵盖了社会效益维度，力求全方位反映项目的绩效状况。同时，对于每个指标的评价标准和数据来源均进行了明确说明，确保评价结果的客观性和可追溯性。</w:t>
      </w:r>
    </w:p>
    <w:p w14:paraId="6F7D5C95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 w14:paraId="2B9AAAD2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 w14:paraId="69711E53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 w14:paraId="2D0856C8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2.绩效评价的目的</w:t>
      </w:r>
    </w:p>
    <w:p w14:paraId="1A841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（1）评估项目实施效果</w:t>
      </w:r>
    </w:p>
    <w:p w14:paraId="4FBD44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通过对项目预算执行情况及各项绩效目标达成程度的系统性分析，全面、客观地评估项目在预定周期内的实施效果，包括社会效益维度指标，为项目后续的改进与优化提供科学依据。</w:t>
      </w:r>
    </w:p>
    <w:p w14:paraId="57730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（2）提升资源利用效率</w:t>
      </w:r>
    </w:p>
    <w:p w14:paraId="3D656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 w14:paraId="61C21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（3）强化项目管理责任</w:t>
      </w:r>
    </w:p>
    <w:p w14:paraId="6B93D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 w14:paraId="08BE0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（4）为决策提供支持</w:t>
      </w:r>
    </w:p>
    <w:p w14:paraId="7E106D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 w14:paraId="0EBA0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（5）促进项目持续改进</w:t>
      </w:r>
    </w:p>
    <w:p w14:paraId="5BC5F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 w14:paraId="610446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 w14:paraId="339116E4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绩效评价的对象</w:t>
      </w:r>
    </w:p>
    <w:p w14:paraId="66802412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本项目预算绩效评价报告的评价对象是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2024年中央补助地方公共文化服务体系建设补助资金（农家书屋）项目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及其预算执行情况。该项目由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中共托里县委宣传部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负责实施，旨在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认真落实自治区党委宣传部下发的文件要求，丰富农家书屋内容供给，进一步推进农家书屋深化改革创新、提升服务效能。该项目普及行政村66个、购置图书种类60种以上，不断补充完善基层农家书屋书籍种类，不断进一步丰富群众的精神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。项目预算涵盖从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2024年1月1日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至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2024年5月28日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的全部资金投入与支出，涉及资金总额为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13.2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万元。</w:t>
      </w:r>
    </w:p>
    <w:p w14:paraId="651D6FFF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绩效评价的范围</w:t>
      </w:r>
    </w:p>
    <w:p w14:paraId="2AF1210E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</w:p>
    <w:p w14:paraId="6338D38A">
      <w:pPr>
        <w:pStyle w:val="10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项目预算编制与执行：全面审视项目预算的编制依据、合理性、科学性以及实际执行情况，包括预算调整的原因和效果。</w:t>
      </w:r>
    </w:p>
    <w:p w14:paraId="2509EAED">
      <w:pPr>
        <w:pStyle w:val="10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资金管理：深入分析项目资金的分配、使用和监管情况，确保资金使用的合规性、高效性和透明度。</w:t>
      </w:r>
    </w:p>
    <w:p w14:paraId="205F2F96">
      <w:pPr>
        <w:pStyle w:val="10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项目实施进度与产出：评估项目是否按照既定计划顺利推进，各项任务是否按时完成，以及项目产出的数量、质量和时效性是否符合预期。</w:t>
      </w:r>
    </w:p>
    <w:p w14:paraId="651EC4DA">
      <w:pPr>
        <w:pStyle w:val="10"/>
        <w:widowControl w:val="0"/>
        <w:numPr>
          <w:ilvl w:val="0"/>
          <w:numId w:val="0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green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（4）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社会影响：考察项目对社会方面的综合影响。</w:t>
      </w:r>
    </w:p>
    <w:p w14:paraId="399AC3A2">
      <w:pPr>
        <w:spacing w:line="560" w:lineRule="exact"/>
        <w:ind w:firstLine="643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（二）绩效评价原则、评价指标体系（详情见表1）、评价方法、评价标准。</w:t>
      </w:r>
    </w:p>
    <w:p w14:paraId="4C0DB199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绩效评价原则</w:t>
      </w:r>
    </w:p>
    <w:p w14:paraId="497839A3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本次项目绩效评价遵循以下基本原则：</w:t>
      </w:r>
    </w:p>
    <w:p w14:paraId="1D0CB653"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（1）科学公正。绩效评价应当运用科学合理的方法，按照规范的程序，对项目绩效进行客观、公正的反映。</w:t>
      </w:r>
    </w:p>
    <w:p w14:paraId="0F2BF196"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6F571AEF"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0D7ABC79"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（4）公开透明。绩效评价结果应依法依规公开，并自觉接受社会监督。</w:t>
      </w:r>
    </w:p>
    <w:p w14:paraId="086783D4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评价指标体系</w:t>
      </w:r>
    </w:p>
    <w:p w14:paraId="060913DB">
      <w:pPr>
        <w:spacing w:line="560" w:lineRule="exact"/>
        <w:ind w:firstLine="708" w:firstLineChars="200"/>
        <w:rPr>
          <w:rFonts w:hint="default" w:ascii="Times New Roman" w:hAnsi="Times New Roman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40D3E5F5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（1）确定评价指标</w:t>
      </w:r>
    </w:p>
    <w:p w14:paraId="7A3CFE75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598EBF0E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（2）确定权重</w:t>
      </w:r>
    </w:p>
    <w:p w14:paraId="6525ACE7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FF0000"/>
          <w:spacing w:val="17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 w14:paraId="2E719A8A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（3）确定指标标准值</w:t>
      </w:r>
    </w:p>
    <w:p w14:paraId="3BD7BFCD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730604D2">
      <w:pPr>
        <w:pStyle w:val="10"/>
        <w:spacing w:before="0" w:after="0" w:line="560" w:lineRule="exact"/>
        <w:ind w:firstLine="708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  <w:t>绩效评价总分值100分，根据综合评分结果，90（含）-100分为优、80（含）-90分为良、60（含）-80分为中、60分以下为差。</w:t>
      </w:r>
    </w:p>
    <w:p w14:paraId="039D5808">
      <w:pPr>
        <w:pStyle w:val="10"/>
        <w:widowControl w:val="0"/>
        <w:spacing w:before="0" w:after="0" w:line="560" w:lineRule="exact"/>
        <w:ind w:firstLine="708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  <w:t>具体评价指标体系详情见附件1</w:t>
      </w:r>
    </w:p>
    <w:p w14:paraId="60E78FF3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绩效评价方法</w:t>
      </w:r>
    </w:p>
    <w:p w14:paraId="22CFEAAD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</w:p>
    <w:p w14:paraId="1810DA4E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3A93D9E7">
      <w:pPr>
        <w:pStyle w:val="10"/>
        <w:widowControl w:val="0"/>
        <w:numPr>
          <w:ilvl w:val="0"/>
          <w:numId w:val="2"/>
        </w:numPr>
        <w:spacing w:before="0" w:after="0" w:line="560" w:lineRule="exact"/>
        <w:ind w:firstLine="708" w:firstLineChars="200"/>
        <w:jc w:val="both"/>
        <w:outlineLvl w:val="9"/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17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  <w:t xml:space="preserve">成本效益分析法。是指将投入与产出、效益进行关联性分析的方法。 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17"/>
          <w:lang w:val="en-US" w:eastAsia="zh-CN"/>
        </w:rPr>
        <w:t>该项目的成本包括图书的采购这一直接成本还包括图书更新、图书维护、人员管理等间接成本。但是通过项目的实施可以提升农民文化素质，促进农村精神文明建设，减少不良社会现象，营造良好的乡村氛围，虽难以直接用货币衡量，但可根据社会和谐程度提升、丰富群众精神文明生活等指标进行间接评估。此外，有助于培养新型农民，为农村长远发展提供人才支持，推动农村经济可持续增长。 另外，为农村青少年提供课外学习场所和丰富的阅读资源，有利于培养他们的阅读习惯和学习能力，对其未来发展产生积极影响。</w:t>
      </w:r>
    </w:p>
    <w:p w14:paraId="5BAB80D7">
      <w:pPr>
        <w:pStyle w:val="10"/>
        <w:widowControl w:val="0"/>
        <w:numPr>
          <w:ilvl w:val="0"/>
          <w:numId w:val="2"/>
        </w:numPr>
        <w:spacing w:before="0" w:after="0" w:line="560" w:lineRule="exact"/>
        <w:ind w:firstLine="708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  <w:t>公众评判法。是指通过专家评估、公众问卷及抽样调查等方式进行评判的方法。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17"/>
          <w:lang w:val="en-US" w:eastAsia="zh-CN"/>
        </w:rPr>
        <w:t>本项目通过对收集到的信息进行整理和分析，总结出公众对农家书屋项目的主要观点和意见。如果满意度较高，可总结成功经验进行推广；如果存在问题，根据公众建议制定改进措施，如增加热门书籍种类、调整开放时间、加强宣传推广等，以提升农家书屋的服务质量和效益，更好地满足公众需求。同时，也可为后续类似项目的规划和实施提供参考依据。</w:t>
      </w:r>
    </w:p>
    <w:p w14:paraId="286F5EF6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4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评价标准</w:t>
      </w:r>
    </w:p>
    <w:p w14:paraId="39DC049F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绩效评价标准通常包括计划标准、行业标准、历史标准等，用于对绩效指标完成情况进行比较、分析、评价。本次评价主要采用了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计划</w:t>
      </w:r>
      <w:r>
        <w:rPr>
          <w:rFonts w:hint="default" w:ascii="Times New Roman" w:hAnsi="Times New Roman" w:eastAsia="仿宋_GB2312" w:cs="Times New Roman"/>
          <w:b w:val="0"/>
          <w:bCs w:val="0"/>
        </w:rPr>
        <w:t>标准。</w:t>
      </w:r>
    </w:p>
    <w:p w14:paraId="2D9709A2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</w:rPr>
        <w:t>计划标准。指以预先制定的目标、计划、预算、定额等作为评价标准。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本项目每个村的农村书屋采购图书种类不少于60个种类，确保村民有充足的阅读资源，广泛覆盖各类知识领域，避免品类单一。在质量方面所有图书均从正规出版社、发行商采购，确保正版，拒绝盗版、劣质书籍。采购时审核供应商资质，如出版物经营许可证、营业执照等，保证采购渠道合法合规。优先选择知名作者、权威机构编写，或经专业推荐、口碑良好的图书。内容具有科学性、实用性、可读性，避免过时、错误信息，以及内容低俗、宣扬不良价值观的图书。</w:t>
      </w:r>
    </w:p>
    <w:p w14:paraId="2628A0E7">
      <w:pPr>
        <w:pStyle w:val="10"/>
        <w:widowControl w:val="0"/>
        <w:spacing w:before="0" w:after="0" w:line="560" w:lineRule="exact"/>
        <w:jc w:val="both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纸张质量良好，印刷清晰，装订牢固，确保图书耐用，便于长期保存与翻阅。验收时检查图书外观、印刷质量，有问题及时退换。每年定期通过问卷调查、村民座谈会、访谈等方式，收集村民阅读需求与意见。结合当地农业产业特色、文化活动、村民年龄结构等，分析确定采购方向与重点。每年制定图书采购预算，明确资金来源与使用计划。专款专用，严禁挪用。预算编制结合图书采购数量、种类、价格等因素，确保合理、科学。采购过程中遵循性价比原则，通过招标、询价等方式，争取优惠价格。同时，合理控制运输、仓储、验收等环节费用，降低采购成本。定期对资金使用情况进行审计监督，确保资金使用透明、合规。</w:t>
      </w:r>
    </w:p>
    <w:p w14:paraId="67852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通过明确这些计划标准，可以为</w:t>
      </w:r>
      <w:r>
        <w:rPr>
          <w:rFonts w:hint="eastAsia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本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项目的实施提供具体的指导和依据，确保项目能够达到预期的目标和效果。</w:t>
      </w:r>
    </w:p>
    <w:p w14:paraId="53C0C36E">
      <w:pPr>
        <w:pStyle w:val="10"/>
        <w:widowControl w:val="0"/>
        <w:spacing w:before="0" w:after="0" w:line="560" w:lineRule="exact"/>
        <w:ind w:firstLine="643" w:firstLineChars="200"/>
        <w:jc w:val="both"/>
        <w:outlineLvl w:val="9"/>
        <w:rPr>
          <w:rFonts w:hint="default" w:ascii="Times New Roman" w:hAnsi="Times New Roman" w:eastAsia="仿宋_GB2312" w:cs="Times New Roman"/>
          <w:b/>
          <w:bCs/>
          <w:lang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eastAsia="zh-CN"/>
        </w:rPr>
        <w:t>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）</w:t>
      </w:r>
      <w:r>
        <w:rPr>
          <w:rFonts w:hint="default" w:ascii="Times New Roman" w:hAnsi="Times New Roman" w:eastAsia="仿宋_GB2312" w:cs="Times New Roman"/>
          <w:b/>
          <w:bCs/>
          <w:lang w:eastAsia="zh-CN"/>
        </w:rPr>
        <w:t>绩效评价工作过程</w:t>
      </w:r>
    </w:p>
    <w:p w14:paraId="544F43A3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）前期准备与规划</w:t>
      </w:r>
    </w:p>
    <w:p w14:paraId="02C19912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</w:p>
    <w:p w14:paraId="0657E05C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）指标体系构建</w:t>
      </w:r>
    </w:p>
    <w:p w14:paraId="6B78C2B1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</w:p>
    <w:p w14:paraId="5BA01249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）数据收集与整理</w:t>
      </w:r>
    </w:p>
    <w:p w14:paraId="208C6975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 w14:paraId="579D5BA1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）数据分析与评估</w:t>
      </w:r>
    </w:p>
    <w:p w14:paraId="39C57433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 w14:paraId="376BFD52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）报告撰写与反馈</w:t>
      </w:r>
    </w:p>
    <w:p w14:paraId="0C6FEF92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 w14:paraId="4CABB011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）后续跟踪与改进</w:t>
      </w:r>
    </w:p>
    <w:p w14:paraId="21F67519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48839D3D">
      <w:pPr>
        <w:numPr>
          <w:ilvl w:val="0"/>
          <w:numId w:val="3"/>
        </w:num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综合评价情况及评价结论（附相关评分表）</w:t>
      </w:r>
    </w:p>
    <w:p w14:paraId="4D078527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一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评价情况</w:t>
      </w:r>
    </w:p>
    <w:p w14:paraId="6C12FA55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本项目的综合评价基于对项目各方面绩效的深入分析与评估。从项目目标的达成情况来看，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2024年中央补助地方公共文化服务体系建设补助资金（农家书屋）</w:t>
      </w:r>
      <w:r>
        <w:rPr>
          <w:rFonts w:hint="eastAsia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项目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在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购置图书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等方面表现出色，达到了预期的标准与要求。同时，项目也在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进一步推进农家书屋深化改革创新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取得了显著的成效，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认真落实自治区党委宣传部下发的文件要求，丰富农家书屋内容供给，进一步推进农家书屋深化改革创新、提升服务效能，不断补充完善基层农家书屋书籍种类，不断进一步丰富群众的精神文化生活。</w:t>
      </w:r>
    </w:p>
    <w:p w14:paraId="3FE67F7B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在项目管理方面，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中共托里县委宣传部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通过有效的规划、组织与协调，项目得以顺利实施，并在预算与时间上保持了良好的控制。</w:t>
      </w:r>
    </w:p>
    <w:p w14:paraId="3DED832E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从项目效益的角度来看，本项目不仅实现了预期的社会效益产生了积极的影响。具体而言，群众精神文明生活的</w:t>
      </w:r>
      <w:r>
        <w:rPr>
          <w:rFonts w:hint="eastAsia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丰富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，为项目的利益相关者带来了实实在在的利益。</w:t>
      </w:r>
    </w:p>
    <w:p w14:paraId="51C48DBA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综上所述，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2024年中央补助地方公共文化服务体系建设补助资金（农家书屋）项目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在绩效评价中表现出色，达到了项目的预期目标，并在多个方面取得了显著的成效。</w:t>
      </w:r>
    </w:p>
    <w:p w14:paraId="14A53B47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评价结论</w:t>
      </w:r>
    </w:p>
    <w:p w14:paraId="53F6615D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 xml:space="preserve">果：总得分为 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 xml:space="preserve">分，属于“优”。其中，项目决策类指标权重为20分，得分为 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%。项目过程类指标权重为20分，得分为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%。项目产出类指标权重为40分，得分为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40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%。项目效益类指标权重为20分，得分为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%。具</w:t>
      </w:r>
      <w:r>
        <w:rPr>
          <w:rFonts w:hint="default" w:ascii="Times New Roman" w:hAnsi="Times New Roman" w:eastAsia="仿宋_GB2312" w:cs="Times New Roman"/>
          <w:b w:val="0"/>
          <w:bCs w:val="0"/>
        </w:rPr>
        <w:t>体打分情况详见：附件1综合评分表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。</w:t>
      </w:r>
    </w:p>
    <w:p w14:paraId="2175FEC4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default" w:ascii="Times New Roman" w:hAnsi="Times New Roman" w:eastAsia="仿宋_GB2312" w:cs="Times New Roman"/>
          <w:sz w:val="21"/>
          <w:szCs w:val="21"/>
        </w:rPr>
      </w:pPr>
      <w:r>
        <w:rPr>
          <w:rFonts w:hint="default" w:ascii="Times New Roman" w:hAnsi="Times New Roman" w:eastAsia="仿宋_GB2312" w:cs="Times New Roman"/>
          <w:sz w:val="21"/>
          <w:szCs w:val="21"/>
        </w:rPr>
        <w:t>表1综合评分表</w:t>
      </w:r>
    </w:p>
    <w:tbl>
      <w:tblPr>
        <w:tblStyle w:val="13"/>
        <w:tblW w:w="499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926"/>
        <w:gridCol w:w="2023"/>
        <w:gridCol w:w="2023"/>
      </w:tblGrid>
      <w:tr w14:paraId="633381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15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56E87A81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一级指标</w:t>
            </w:r>
          </w:p>
        </w:tc>
        <w:tc>
          <w:tcPr>
            <w:tcW w:w="10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23C18014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权重分</w:t>
            </w:r>
          </w:p>
        </w:tc>
        <w:tc>
          <w:tcPr>
            <w:tcW w:w="11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191028E5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得分</w:t>
            </w:r>
          </w:p>
        </w:tc>
        <w:tc>
          <w:tcPr>
            <w:tcW w:w="11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7F0D7D40">
            <w:pPr>
              <w:jc w:val="center"/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得分率</w:t>
            </w:r>
          </w:p>
        </w:tc>
      </w:tr>
      <w:tr w14:paraId="0B9152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E3254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项目决策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152F4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C962A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28939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76370A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8E7EF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项目过程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8ED7A9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070CC4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C26788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11EEF6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D1657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项目产出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8AC3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5896F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24101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689129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E5BD8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项目效益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A039A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400F6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BD6C8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371603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BE4AE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合计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53F00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38A13F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B630F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</w:tbl>
    <w:p w14:paraId="55658544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四、绩效评价指标分析</w:t>
      </w:r>
    </w:p>
    <w:p w14:paraId="555067E6">
      <w:pPr>
        <w:pStyle w:val="10"/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_GB2312" w:cs="Times New Roman"/>
        </w:rPr>
      </w:pPr>
      <w:r>
        <w:rPr>
          <w:rFonts w:hint="default" w:ascii="Times New Roman" w:hAnsi="Times New Roman" w:eastAsia="楷体_GB2312" w:cs="Times New Roman"/>
        </w:rPr>
        <w:t>（一）项目决策情况</w:t>
      </w:r>
    </w:p>
    <w:p w14:paraId="1211AA4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yellow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项目决策类指标包括项目立项、绩效目标和资金投入三方面的内容，由6个三级指标构成，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权重分值为20分，实际得分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%。</w:t>
      </w:r>
    </w:p>
    <w:p w14:paraId="06FA5AE2">
      <w:pPr>
        <w:pStyle w:val="2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1.项目立项</w:t>
      </w:r>
    </w:p>
    <w:p w14:paraId="58BFA95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（1）立项依据充分性</w:t>
      </w:r>
    </w:p>
    <w:p w14:paraId="61516F2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7C7DFDD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（2）立项程序规范性</w:t>
      </w:r>
    </w:p>
    <w:p w14:paraId="764089B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项目申请、设立过程符合相关要求，严格按照审批流程准备符合要求的文件、材料；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 w14:paraId="71F67950">
      <w:pPr>
        <w:pStyle w:val="2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2.绩效目标</w:t>
      </w:r>
    </w:p>
    <w:p w14:paraId="65ABF3B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（1）绩效目标合理性</w:t>
      </w:r>
    </w:p>
    <w:p w14:paraId="31D2632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年初结合实际工作内容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设定绩效目标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，绩效目标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 w14:paraId="20AA0E1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（2）绩效指标明确性</w:t>
      </w:r>
    </w:p>
    <w:p w14:paraId="5A32600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 w14:paraId="7D63F508">
      <w:pPr>
        <w:pStyle w:val="2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3.资金投入</w:t>
      </w:r>
    </w:p>
    <w:p w14:paraId="32DFCEC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（1）预算编制科学性</w:t>
      </w:r>
    </w:p>
    <w:p w14:paraId="49C5459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 w14:paraId="2D9E769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 w14:paraId="1EDC992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（2）资金分配合理性</w:t>
      </w:r>
    </w:p>
    <w:p w14:paraId="4372DDF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 w14:paraId="1AC44D5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 w14:paraId="6506D00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43D6A296">
      <w:pPr>
        <w:pStyle w:val="10"/>
        <w:numPr>
          <w:ilvl w:val="0"/>
          <w:numId w:val="4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项目过程情况</w:t>
      </w:r>
    </w:p>
    <w:p w14:paraId="77D64EA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项目过程类指标包括资金管理和组织实施两方面的内容，由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5个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三级指标构成，权重分值为20分，实际得分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分，得分率为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%。</w:t>
      </w:r>
    </w:p>
    <w:p w14:paraId="3D1A5E05">
      <w:pPr>
        <w:pStyle w:val="2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1.资金管理</w:t>
      </w:r>
    </w:p>
    <w:p w14:paraId="10C6182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（1）资金到位率</w:t>
      </w:r>
    </w:p>
    <w:p w14:paraId="3F83552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本项目总投资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13.2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万元，财政资金及时足额到位，到位率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%，预算资金按计划进度执行。</w:t>
      </w:r>
    </w:p>
    <w:p w14:paraId="3493C84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（2）预算执行率</w:t>
      </w:r>
    </w:p>
    <w:p w14:paraId="5F3BA9C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预算编制较为详细，项目资金支出总体能够按照预算执行，预算资金支出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13.2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万元，预算执行率为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%。</w:t>
      </w:r>
    </w:p>
    <w:p w14:paraId="292A699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（3）资金使用合规性</w:t>
      </w:r>
    </w:p>
    <w:p w14:paraId="31F8498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 w14:paraId="3294268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 w14:paraId="0C8B35E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 w14:paraId="7EE31AC8">
      <w:pPr>
        <w:shd w:val="clear" w:color="auto" w:fill="auto"/>
        <w:spacing w:line="600" w:lineRule="exact"/>
        <w:ind w:firstLine="643" w:firstLineChars="200"/>
        <w:outlineLvl w:val="0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2.组织实施</w:t>
      </w:r>
    </w:p>
    <w:p w14:paraId="0898B54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（1）管理制度健全性</w:t>
      </w:r>
    </w:p>
    <w:p w14:paraId="77E6353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 w14:paraId="2A39E71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在制度设计上，我们注重了制度的科学性与可操作性，确保制度能够切实指导项目的执行与管理。</w:t>
      </w:r>
    </w:p>
    <w:p w14:paraId="460A9FC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 w14:paraId="70FCB22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 w14:paraId="30169E5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（2）制度执行有效性</w:t>
      </w:r>
    </w:p>
    <w:p w14:paraId="2D4E8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本项目在执行过程中，管理制度得到了全面、有效的落实，为确保项目的顺利实施与目标实现提供了坚实的保障。项目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重视制度执行的重要性，通过明确责任分工、制定详细执行计划、加强监督考核等措施，确保了各项管理制度能够得到有效执行。</w:t>
      </w:r>
    </w:p>
    <w:p w14:paraId="54C32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 w14:paraId="18B34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综上所述，本项目的管理制度在执行过程中表现出了高度的有效性，既确保了项目的顺利进行，又实现了项目目标的有效达成。</w:t>
      </w:r>
    </w:p>
    <w:p w14:paraId="71596D68">
      <w:pPr>
        <w:pStyle w:val="11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项目产出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情况</w:t>
      </w:r>
    </w:p>
    <w:p w14:paraId="21135F1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项目产出类指标包括产出数量、产出质量、产出时效、产出成本四方面的内容，由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个三级指标构成，权重分为40分，实际得分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%。具体产出指标完成情况如下：</w:t>
      </w:r>
    </w:p>
    <w:p w14:paraId="4FDB31E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1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数量指标：</w:t>
      </w:r>
    </w:p>
    <w:p w14:paraId="5CD7B96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普及行政村数量，指标值&gt;=66个，实际完成值：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66个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58D9773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购置图书种类，指标值&gt;=6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种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，实际完成值：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60种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1B6968F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2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质量指标：</w:t>
      </w:r>
    </w:p>
    <w:p w14:paraId="43E48004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资金使用合规率，指标值=100%，实际完成值：100%，指标完成率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05FFB3CF">
      <w:pPr>
        <w:shd w:val="clear" w:color="auto" w:fill="auto"/>
        <w:spacing w:line="600" w:lineRule="exact"/>
        <w:ind w:firstLine="640" w:firstLineChars="200"/>
        <w:outlineLvl w:val="0"/>
        <w:rPr>
          <w:rFonts w:hint="default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购置图书种类，提升农家书屋更新率&gt;=80%，实际完成值：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80%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72FC52D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3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③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时效指标：</w:t>
      </w:r>
    </w:p>
    <w:p w14:paraId="1EBE63D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：项目完工时间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，指标值2024年12月25日，实际完成值：2024年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05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月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日，指标完成率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037AEAF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4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④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成本指标：</w:t>
      </w:r>
    </w:p>
    <w:p w14:paraId="28ABD88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每村购图书费用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，指标值&lt;=0.20万元，实际完成值：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0.2万元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3202863D">
      <w:pPr>
        <w:pStyle w:val="11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项目效益情况</w:t>
      </w:r>
    </w:p>
    <w:p w14:paraId="2F43B05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项目效益类指标包括项目实施效益和满意度两方面的内容，由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个三级指标构成，权重分为20分，实际得分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%。具体效益指标及满意度指标完成情况如下：</w:t>
      </w:r>
    </w:p>
    <w:p w14:paraId="378310F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实施效益</w:t>
      </w:r>
    </w:p>
    <w:p w14:paraId="6AC3379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经济效益指标：</w:t>
      </w:r>
    </w:p>
    <w:p w14:paraId="6887BDD4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无</w:t>
      </w:r>
    </w:p>
    <w:p w14:paraId="77E6A86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社会效益指标：</w:t>
      </w:r>
    </w:p>
    <w:p w14:paraId="16AB7DE1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丰富群众精神文明生活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，指标值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有效提升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，实际完成值：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有效提升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237889D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③生态效益指标：</w:t>
      </w:r>
    </w:p>
    <w:p w14:paraId="6BA23F3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无</w:t>
      </w:r>
    </w:p>
    <w:p w14:paraId="58DA998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2.满意度</w:t>
      </w:r>
    </w:p>
    <w:p w14:paraId="452F9C6A">
      <w:pPr>
        <w:spacing w:line="560" w:lineRule="exact"/>
        <w:ind w:firstLine="640" w:firstLineChars="200"/>
        <w:rPr>
          <w:rFonts w:hint="eastAsia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农牧民的满意度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，指标值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&gt;=95%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，实际完成值：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95%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09E02A7D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（五）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/>
        </w:rPr>
        <w:t>预算执行进度与绩效指标总体完成率偏差</w:t>
      </w:r>
    </w:p>
    <w:p w14:paraId="7741681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2024年中央补助地方公共文化服务体系建设补助资金（农家书屋）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项目年初预算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13.2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万元，全年预算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13.2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万元，实际支出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13.2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万元，预算执行率为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%，项目绩效指标总体完成率为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%，总体偏差率为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%。</w:t>
      </w:r>
    </w:p>
    <w:p w14:paraId="0EFC331E">
      <w:pPr>
        <w:spacing w:line="560" w:lineRule="exact"/>
        <w:ind w:firstLine="640" w:firstLineChars="200"/>
        <w:rPr>
          <w:rStyle w:val="20"/>
          <w:rFonts w:hint="default" w:ascii="Times New Roman" w:hAnsi="Times New Roman" w:cs="Times New Roman"/>
          <w:color w:val="auto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主要经验及做法、存在的问题及原因分析</w:t>
      </w:r>
    </w:p>
    <w:p w14:paraId="16E68A0E">
      <w:pPr>
        <w:spacing w:line="560" w:lineRule="exact"/>
        <w:ind w:firstLine="627" w:firstLineChars="200"/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  <w:t>（一）主要经验及做法</w:t>
      </w:r>
    </w:p>
    <w:p w14:paraId="562A3C1E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4E4A10AF">
      <w:pPr>
        <w:pStyle w:val="10"/>
        <w:spacing w:before="0" w:after="0"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严格坚持先做事、后验收、再拨付的原则，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lang w:eastAsia="zh-CN"/>
        </w:rPr>
        <w:t>杜绝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6B802378">
      <w:pPr>
        <w:keepNext/>
        <w:keepLines/>
        <w:numPr>
          <w:ilvl w:val="0"/>
          <w:numId w:val="5"/>
        </w:num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存在的问题及原因分析</w:t>
      </w:r>
    </w:p>
    <w:p w14:paraId="26151B8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</w:p>
    <w:p w14:paraId="60F02AC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2.因轮岗、调动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因素使我单位绩效工作人员流动频繁，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造成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工作衔接不到位的情况。</w:t>
      </w:r>
    </w:p>
    <w:p w14:paraId="0DECF610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有关建议</w:t>
      </w:r>
    </w:p>
    <w:p w14:paraId="043DDE8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1.多进行有关绩效管理工作方面的培训。积极组织第三方开展绩效管理工作培训，进一步夯实业务基础，提高我单位绩效人员水平。</w:t>
      </w:r>
    </w:p>
    <w:p w14:paraId="40B86D9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2.专门设定对绩效工作人员定职、定岗、定责等相关制度措施，进一步提升我单位绩效管理工作业务水平，扎实做好绩效管理工作。</w:t>
      </w:r>
    </w:p>
    <w:p w14:paraId="762FF19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 w14:paraId="29ECB48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</w:t>
      </w:r>
      <w:r>
        <w:rPr>
          <w:rFonts w:hint="default" w:ascii="Times New Roman" w:hAnsi="Times New Roman" w:eastAsia="仿宋_GB2312" w:cs="Times New Roman"/>
          <w:sz w:val="36"/>
          <w:szCs w:val="32"/>
        </w:rPr>
        <w:t>。</w:t>
      </w:r>
    </w:p>
    <w:p w14:paraId="26B7336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40B1FCBA">
      <w:pPr>
        <w:spacing w:line="560" w:lineRule="exact"/>
        <w:ind w:firstLine="640" w:firstLineChars="200"/>
        <w:rPr>
          <w:rFonts w:hint="eastAsia" w:eastAsia="黑体" w:cs="Times New Roman"/>
          <w:sz w:val="32"/>
          <w:szCs w:val="32"/>
          <w:lang w:val="en-US" w:eastAsia="zh-CN"/>
        </w:rPr>
      </w:pPr>
    </w:p>
    <w:p w14:paraId="0F0DF0FE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其他需要说</w:t>
      </w:r>
      <w:bookmarkStart w:id="0" w:name="page8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明的问题</w:t>
      </w:r>
    </w:p>
    <w:p w14:paraId="629CBD3A">
      <w:pPr>
        <w:pStyle w:val="12"/>
        <w:spacing w:after="0" w:line="560" w:lineRule="exact"/>
        <w:ind w:left="0" w:leftChars="0"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本项目无其他需说明的问题。</w:t>
      </w:r>
    </w:p>
    <w:p w14:paraId="3F75A270">
      <w:pPr>
        <w:pStyle w:val="12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02CF45E0">
      <w:pPr>
        <w:pStyle w:val="12"/>
        <w:spacing w:after="0" w:line="560" w:lineRule="exact"/>
        <w:ind w:left="0" w:leftChars="0" w:firstLine="64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14AC386-7A77-4A92-961B-9A78E50FE1F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46B568C-B4AE-4AB0-8810-60C2E3D087CB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02F763D0-3F71-4CD7-A659-135C9333F813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8888F57B-2C04-4168-8014-BB627B87653E}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5" w:fontKey="{EEAD81A9-71F6-4141-9AD2-46BE30F7C353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67842FBA-CE9C-4D53-8B88-C36E09C3926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0F91D867-D7A5-472B-BDD8-9F2D4EA81E26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8962"/>
    </w:sdtPr>
    <w:sdtContent>
      <w:p w14:paraId="152F520C"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6B768ECF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F205925"/>
    <w:multiLevelType w:val="singleLevel"/>
    <w:tmpl w:val="BF20592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F092B84"/>
    <w:multiLevelType w:val="singleLevel"/>
    <w:tmpl w:val="CF092B8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9ADCABA"/>
    <w:multiLevelType w:val="singleLevel"/>
    <w:tmpl w:val="59ADCAB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zYTY1ODhmZjRiY2MxNDhlNzhkN2RkNzk0ZmMyNjIifQ=="/>
  </w:docVars>
  <w:rsids>
    <w:rsidRoot w:val="00000000"/>
    <w:rsid w:val="129B6061"/>
    <w:rsid w:val="604325B1"/>
    <w:rsid w:val="6D9F0C90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99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6">
    <w:name w:val="Balloon Text"/>
    <w:basedOn w:val="1"/>
    <w:link w:val="22"/>
    <w:qFormat/>
    <w:uiPriority w:val="0"/>
    <w:rPr>
      <w:sz w:val="18"/>
      <w:szCs w:val="18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8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10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11">
    <w:name w:val="Body Text First Indent"/>
    <w:basedOn w:val="4"/>
    <w:qFormat/>
    <w:uiPriority w:val="0"/>
    <w:pPr>
      <w:spacing w:after="0"/>
      <w:ind w:firstLine="200" w:firstLineChars="200"/>
    </w:pPr>
  </w:style>
  <w:style w:type="paragraph" w:styleId="12">
    <w:name w:val="Body Text First Indent 2"/>
    <w:basedOn w:val="5"/>
    <w:qFormat/>
    <w:uiPriority w:val="0"/>
    <w:pPr>
      <w:ind w:firstLine="420" w:firstLineChars="200"/>
    </w:pPr>
  </w:style>
  <w:style w:type="table" w:styleId="14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6">
    <w:name w:val="Strong"/>
    <w:basedOn w:val="15"/>
    <w:qFormat/>
    <w:uiPriority w:val="0"/>
    <w:rPr>
      <w:b/>
      <w:bCs/>
    </w:rPr>
  </w:style>
  <w:style w:type="paragraph" w:customStyle="1" w:styleId="17">
    <w:name w:val="Comment Text"/>
    <w:basedOn w:val="1"/>
    <w:link w:val="24"/>
    <w:qFormat/>
    <w:uiPriority w:val="0"/>
    <w:pPr>
      <w:jc w:val="left"/>
    </w:pPr>
  </w:style>
  <w:style w:type="paragraph" w:customStyle="1" w:styleId="18">
    <w:name w:val="Comment Subject"/>
    <w:basedOn w:val="17"/>
    <w:next w:val="17"/>
    <w:link w:val="25"/>
    <w:qFormat/>
    <w:uiPriority w:val="0"/>
    <w:rPr>
      <w:b/>
      <w:bCs/>
    </w:rPr>
  </w:style>
  <w:style w:type="character" w:customStyle="1" w:styleId="19">
    <w:name w:val="Comment Reference"/>
    <w:basedOn w:val="15"/>
    <w:qFormat/>
    <w:uiPriority w:val="0"/>
    <w:rPr>
      <w:sz w:val="21"/>
      <w:szCs w:val="21"/>
    </w:rPr>
  </w:style>
  <w:style w:type="character" w:customStyle="1" w:styleId="20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  <w:style w:type="paragraph" w:customStyle="1" w:styleId="21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  <w:style w:type="character" w:customStyle="1" w:styleId="22">
    <w:name w:val="批注框文本 字符"/>
    <w:basedOn w:val="15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3">
    <w:name w:val="页眉 字符"/>
    <w:basedOn w:val="15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4">
    <w:name w:val="批注文字 字符"/>
    <w:basedOn w:val="15"/>
    <w:link w:val="17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5">
    <w:name w:val="批注主题 字符"/>
    <w:basedOn w:val="24"/>
    <w:link w:val="18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716B5010BFA94B928B06BA7AE2749239_13</vt:lpwstr>
  </property>
  <property fmtid="{D5CDD505-2E9C-101B-9397-08002B2CF9AE}" pid="4" name="KSOTemplateDocerSaveRecord">
    <vt:lpwstr>eyJoZGlkIjoiOGIxNmYzY2ZkZmQ1Y2UyNjU5NzkxYzdmMWRjOTEwNTUiLCJ1c2VySWQiOiIyODEwNTYxOTAifQ==</vt:lpwstr>
  </property>
</Properties>
</file>

<file path=customXml/itemProps1.xml><?xml version="1.0" encoding="utf-8"?>
<ds:datastoreItem xmlns:ds="http://schemas.openxmlformats.org/officeDocument/2006/customXml" ds:itemID="{9a479c3d-752d-4a51-89de-6f544fc6b6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24</Pages>
  <Words>7637</Words>
  <Characters>7818</Characters>
  <Lines>58</Lines>
  <Paragraphs>16</Paragraphs>
  <TotalTime>11</TotalTime>
  <ScaleCrop>false</ScaleCrop>
  <LinksUpToDate>false</LinksUpToDate>
  <CharactersWithSpaces>7837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2023-03-08T13:13:00Z</dcterms:created>
  <dc:creator>审核人</dc:creator>
  <cp:lastModifiedBy>雨。</cp:lastModifiedBy>
  <dcterms:modified xsi:type="dcterms:W3CDTF">2025-10-31T10:42:19Z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716B5010BFA94B928B06BA7AE2749239_13</vt:lpwstr>
  </property>
  <property fmtid="{D5CDD505-2E9C-101B-9397-08002B2CF9AE}" pid="4" name="KSOTemplateDocerSaveRecord">
    <vt:lpwstr>eyJoZGlkIjoiZjZjY2YzNDY3YWM4YThjNjdkZTk2MDAwYjE2OGQzNDQiLCJ1c2VySWQiOiIzNzI2MDMzNTYifQ==</vt:lpwstr>
  </property>
</Properties>
</file>