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EBD6B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422AC14C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757BCD7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506B6338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4DA909E7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  <w:bookmarkStart w:id="0" w:name="OLE_LINK2"/>
      <w:bookmarkStart w:id="1" w:name="OLE_LINK1"/>
      <w:r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  <w:t>托里县畜牧兽医站</w:t>
      </w:r>
      <w:bookmarkEnd w:id="0"/>
      <w:r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  <w:t>202</w:t>
      </w:r>
      <w:r>
        <w:rPr>
          <w:rFonts w:hint="eastAsia" w:eastAsia="华文中宋" w:cs="Times New Roman"/>
          <w:b/>
          <w:kern w:val="0"/>
          <w:sz w:val="52"/>
          <w:szCs w:val="52"/>
          <w:lang w:val="en-US" w:eastAsia="zh-CN"/>
        </w:rPr>
        <w:t>4</w:t>
      </w:r>
      <w:r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  <w:t>年动物防疫</w:t>
      </w:r>
    </w:p>
    <w:p w14:paraId="5FF41AAD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  <w:r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  <w:t>补助项</w:t>
      </w:r>
      <w:bookmarkEnd w:id="1"/>
      <w:r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  <w:t>目支出绩效评价报告</w:t>
      </w:r>
    </w:p>
    <w:p w14:paraId="4A86C146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</w:p>
    <w:p w14:paraId="5C439C4E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5B822007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1DCD859A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C987F4D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F6A0EAE">
      <w:pPr>
        <w:pStyle w:val="10"/>
        <w:rPr>
          <w:rFonts w:hint="default" w:ascii="Times New Roman" w:hAnsi="Times New Roman" w:cs="Times New Roman"/>
        </w:rPr>
      </w:pPr>
    </w:p>
    <w:p w14:paraId="38E6231C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19E3948B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6A520924">
      <w:pPr>
        <w:spacing w:line="700" w:lineRule="exact"/>
        <w:ind w:firstLine="1080" w:firstLineChars="3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项目名称：托里县畜牧兽医站</w:t>
      </w:r>
      <w:bookmarkStart w:id="2" w:name="OLE_LINK3"/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动物防疫补助项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目</w:t>
      </w:r>
    </w:p>
    <w:bookmarkEnd w:id="2"/>
    <w:p w14:paraId="134C509C">
      <w:pPr>
        <w:spacing w:line="700" w:lineRule="exact"/>
        <w:ind w:firstLine="1800" w:firstLineChars="5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实施单位（公章）：托里县畜牧兽医站</w:t>
      </w:r>
    </w:p>
    <w:p w14:paraId="52DA00C2">
      <w:pPr>
        <w:spacing w:line="700" w:lineRule="exact"/>
        <w:ind w:firstLine="1800" w:firstLineChars="5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主管部门（公章）：托里县畜牧兽医站</w:t>
      </w:r>
    </w:p>
    <w:p w14:paraId="16A5BD6D">
      <w:pPr>
        <w:spacing w:line="700" w:lineRule="exact"/>
        <w:ind w:firstLine="1800" w:firstLineChars="5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乌卡普</w:t>
      </w:r>
    </w:p>
    <w:p w14:paraId="4F5F6EF6">
      <w:pPr>
        <w:spacing w:line="700" w:lineRule="exact"/>
        <w:ind w:firstLine="1800" w:firstLineChars="5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21日</w:t>
      </w:r>
    </w:p>
    <w:p w14:paraId="64F69912">
      <w:pPr>
        <w:spacing w:line="540" w:lineRule="exact"/>
        <w:jc w:val="center"/>
        <w:rPr>
          <w:rFonts w:hint="eastAsia" w:ascii="Times New Roman" w:hAnsi="Times New Roman" w:eastAsia="仿宋_GB2312" w:cs="Times New Roman"/>
          <w:kern w:val="0"/>
          <w:sz w:val="30"/>
          <w:szCs w:val="30"/>
          <w:lang w:val="en-US" w:eastAsia="zh-CN"/>
        </w:rPr>
      </w:pPr>
    </w:p>
    <w:p w14:paraId="2ACFCAB9">
      <w:pPr>
        <w:spacing w:line="540" w:lineRule="exact"/>
        <w:rPr>
          <w:rStyle w:val="16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45E66516">
      <w:pPr>
        <w:spacing w:line="540" w:lineRule="exact"/>
        <w:ind w:firstLine="640"/>
        <w:rPr>
          <w:rStyle w:val="16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03ECEB01">
      <w:pPr>
        <w:spacing w:line="540" w:lineRule="exact"/>
        <w:rPr>
          <w:rStyle w:val="16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771E1CB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2C8105CB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106C5DE1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5CD6C4FF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3FB30D61">
      <w:pPr>
        <w:spacing w:line="560" w:lineRule="exact"/>
        <w:ind w:firstLine="640" w:firstLineChars="200"/>
        <w:rPr>
          <w:rStyle w:val="16"/>
          <w:rFonts w:hint="default" w:ascii="Times New Roman" w:hAnsi="Times New Roman" w:eastAsia="黑体" w:cs="Times New Roman"/>
          <w:b w:val="0"/>
          <w:bCs/>
          <w:spacing w:val="-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动物强制防疫、动物疫情报告和免疫档案的建立等重大防疫措施，与我县畜牧业的健康发展息息相关。确保及时有效地预防和控制动物疫病，保障全县牲畜健康发展。主要做好动物防疫法律法规、方针政策和防疫知识的宣传工作；做好本区域的重大动物疫病免疫工作，并做好动物疫病检测及流行病学调查工作；做好本区域内动物饲养及对发病情况进行巡查，做好疫情观察和报告工作，并协助开展疫情巡查、流行病学调查和消毒等防疫活动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了解本地动物多发病和常见病，做好本区域的动物产地检疫及其他监管工作；参与重大动物疫情的防控和扑灭等应急工作；完成当地政府和动物防疫机构安排的其他动物防疫任务。202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年，托里县畜牧兽医站根据自治区《关</w:t>
      </w:r>
      <w:bookmarkStart w:id="23" w:name="_GoBack"/>
      <w:bookmarkEnd w:id="23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于提前下达202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年自治区动物防疫补助资金预算的通知》（塔地财农〔2022〕56号）要求有效防控重大动物疫病，稳定控制人畜共患病，严密防范外来动物疫病，切实保障畜牧业生产安全</w:t>
      </w:r>
      <w:r>
        <w:rPr>
          <w:rStyle w:val="16"/>
          <w:rFonts w:hint="default" w:ascii="Times New Roman" w:hAnsi="Times New Roman" w:eastAsia="黑体" w:cs="Times New Roman"/>
          <w:b w:val="0"/>
          <w:bCs/>
          <w:spacing w:val="-4"/>
          <w:sz w:val="32"/>
          <w:szCs w:val="32"/>
          <w:highlight w:val="none"/>
          <w:lang w:eastAsia="zh-CN"/>
        </w:rPr>
        <w:t>。</w:t>
      </w:r>
    </w:p>
    <w:p w14:paraId="2A4D87B8">
      <w:pPr>
        <w:pStyle w:val="10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3C84380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项目主要内容：</w:t>
      </w:r>
    </w:p>
    <w:p w14:paraId="5505A8C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根据自治区《关于提前下达202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自治区动物防疫补助资金预算的通知》（塔地财农〔2022〕56号）本项目实施内容为：“改善动物的健康状况，减少传染病的发生并通过有效的防疫措施促进畜牧业的可持续发展。具体内容包括提供经济补助，用于购买防疫设备和药品；进行防疫宣传，增强农民和养殖户的防疫意识和技能；开展动物疫病监测和报告工作，及时掌握动物健康状况；支持养殖户建立健全的动物防疫档案和管理制度。提高养殖场的防疫设施和物资水平，减少传染病传播的风险，提升农民和养殖户的防疫意识和技能，增强自身的防疫能力。及时掌握动物健康状况，减少疫情的发生和传播；通过项目实施，旨在提升防疫设施和物资水平，增强农民和养殖户的防疫意识和技能；同时达到畜牧业的可持续发展。”</w:t>
      </w:r>
    </w:p>
    <w:p w14:paraId="451272E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项目实施情况：</w:t>
      </w:r>
    </w:p>
    <w:p w14:paraId="77F1BC4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本项目于202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年1月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开始实施，截至202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月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25日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，该项目已实施完成，各项任务指标全部完成，通过本项目的实施，有效解决了疫情的发生和传播，提升了农民和养殖户的防疫意识和技能，增强了自身的防疫能力。</w:t>
      </w:r>
    </w:p>
    <w:p w14:paraId="2F7FD199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资金投入和使用情况</w:t>
      </w:r>
    </w:p>
    <w:p w14:paraId="730233B8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4424B31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FF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bookmarkStart w:id="3" w:name="OLE_LINK5"/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187.6</w:t>
      </w:r>
      <w:bookmarkEnd w:id="3"/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187.68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0C576B63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7D87EEA3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187.68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187.68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全年执行数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187.24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</w:t>
      </w:r>
      <w:bookmarkStart w:id="4" w:name="OLE_LINK1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99.77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</w:t>
      </w:r>
      <w:bookmarkEnd w:id="4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，主要用于：采购疫苗数量（重大疫病，常规疫病疫苗）125500头份，口蹄疫、高致病性禽流感、布病、包虫病等优先防治病种防治工作。</w:t>
      </w:r>
    </w:p>
    <w:p w14:paraId="3CFD60CB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7E06DD1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1EE33973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我单位2024年计划支出项目资金187.68万元，主要用于采购疫苗数量（重大疫病，常规疫病疫苗）125500头份，口蹄疫、高致病性禽流感、布病、包虫病等优先防治病种防治工作得到有效防治，达到预防各类疾病的效益，补助对象对政策实施的满意度达到90%。</w:t>
      </w:r>
    </w:p>
    <w:p w14:paraId="63A8C2E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4C44C772">
      <w:pPr>
        <w:spacing w:line="560" w:lineRule="exact"/>
        <w:ind w:firstLine="600" w:firstLineChars="200"/>
        <w:rPr>
          <w:rFonts w:hint="default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0"/>
          <w:szCs w:val="30"/>
          <w:highlight w:val="none"/>
          <w:lang w:val="en-US" w:eastAsia="zh-CN"/>
        </w:rPr>
        <w:t>年中目标：完成资金支付达到60%。督促驻场官方兽医严格监督屠宰牲育进厂监管。</w:t>
      </w:r>
    </w:p>
    <w:p w14:paraId="172654BB">
      <w:pPr>
        <w:spacing w:line="560" w:lineRule="exact"/>
        <w:ind w:firstLine="600" w:firstLineChars="200"/>
        <w:rPr>
          <w:rFonts w:hint="eastAsia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0"/>
          <w:szCs w:val="30"/>
          <w:highlight w:val="none"/>
          <w:lang w:val="en-US" w:eastAsia="zh-CN"/>
        </w:rPr>
        <w:t>年终目标:完成资金支付达到100%，包括查验动物产地检疫合格证明、耳标佩戴情况，严格按照检疫操作规程实施率前、宰中和宰后检疫，规范出具动物产品检疫合格证明并戴验讫标志卡环，确保入场屠宰畜禽耳标佩戴率为100%，动物产地检疫持有率100%。</w:t>
      </w:r>
    </w:p>
    <w:p w14:paraId="2BF4601F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3F883800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</w:rPr>
        <w:t>（一）绩效评价目的、对象和范围</w:t>
      </w:r>
    </w:p>
    <w:p w14:paraId="6196AB9F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1.绩效评价完整性</w:t>
      </w:r>
    </w:p>
    <w:p w14:paraId="76746A2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0DBDC4E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在评价指标体系的构建上，充分考虑了项目的性质、目标以及预期成果，选取了具有代表性和可衡量性的关键指标，涵盖了社会效益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、生态效益等多个维度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，力求全方位反映项目的绩效状况。同时，对于每个指标的评价标准和数据来源均进行了明确说明，确保评价结果的客观性和可追溯性。</w:t>
      </w:r>
    </w:p>
    <w:p w14:paraId="3E032BE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5221F89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56D91A0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4B048C1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绩效评价的目的</w:t>
      </w:r>
    </w:p>
    <w:p w14:paraId="601C8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（1）评估项目实施效果</w:t>
      </w:r>
    </w:p>
    <w:p w14:paraId="07765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通过对项目预算执行情况及各项绩效目标达成程度的系统性分析，全面、客观地评估项目在预定周期内的实施效果，包括社会效益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生态效益等多个维度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，为项目后续的改进与优化提供科学依据。</w:t>
      </w:r>
    </w:p>
    <w:p w14:paraId="157E4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（2）提升资源利用效率</w:t>
      </w:r>
    </w:p>
    <w:p w14:paraId="51AA7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3AA45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（3）强化项目管理责任</w:t>
      </w:r>
    </w:p>
    <w:p w14:paraId="6E2E9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2E153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（4）为决策提供支持</w:t>
      </w:r>
    </w:p>
    <w:p w14:paraId="3CB81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2A02E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（5）促进项目持续改进</w:t>
      </w:r>
    </w:p>
    <w:p w14:paraId="24576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3C2BD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社会效益。</w:t>
      </w:r>
    </w:p>
    <w:p w14:paraId="18D7FFE3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绩效评价的对象</w:t>
      </w:r>
    </w:p>
    <w:p w14:paraId="7256FF58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本项目预算绩效评价报告的评价对象是托里县畜牧兽医站2024年动物防疫项目补助资金及其预算执行情况。该项目由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托里县畜牧兽医站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负责实施，旨在2024年计划支出项目资金187.677万元，主要用于采购疫苗数量（重大疫病，常规疫病疫苗）125500头份，口蹄疫、高致病性禽流感、布病、包虫病等优先防治病种防治工作。项目预算涵盖从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的全部资金投入与支出，涉及资金总额为</w:t>
      </w:r>
      <w:bookmarkStart w:id="5" w:name="OLE_LINK6"/>
      <w:r>
        <w:rPr>
          <w:rFonts w:hint="eastAsia" w:ascii="仿宋_GB2312" w:hAnsi="楷体" w:eastAsia="仿宋_GB2312"/>
          <w:b w:val="0"/>
          <w:bCs/>
          <w:color w:val="000000"/>
          <w:spacing w:val="-4"/>
          <w:sz w:val="32"/>
          <w:szCs w:val="32"/>
          <w:highlight w:val="none"/>
          <w:lang w:val="en-US" w:eastAsia="zh-CN"/>
        </w:rPr>
        <w:t>187.24</w:t>
      </w:r>
      <w:bookmarkEnd w:id="5"/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元。</w:t>
      </w:r>
    </w:p>
    <w:p w14:paraId="358267AA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绩效评价的范围</w:t>
      </w:r>
    </w:p>
    <w:p w14:paraId="08E98E41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35D26874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6F4C266D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资金管理：深入分析项目资金的分配、使用和监管情况，确保资金使用的合规性、高效性和透明度。</w:t>
      </w:r>
    </w:p>
    <w:p w14:paraId="2BFDC0BF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1B25639E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社会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影响：考察项目对社会、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等方面的综合影响。</w:t>
      </w:r>
    </w:p>
    <w:p w14:paraId="2C5571FE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3FF100A4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708DFFE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195FF27F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0667BFD0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404F6142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158E41C0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54E79847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3FA59241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5D4E1BB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6ACCC604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54C3503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58254F48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1FD5B778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40EA5E80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3DC0B0B6">
      <w:pPr>
        <w:pStyle w:val="10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1D920D0F">
      <w:pPr>
        <w:pStyle w:val="10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44B8B21A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323CD13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 w14:paraId="2BFACE8B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143037D0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）比较法。是指将实施情况与绩效目标、历史情况、不同部门和地区同类支出情况进行比较的方法。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比较不同项目的状况，帮助负责人制定决策。</w:t>
      </w:r>
    </w:p>
    <w:p w14:paraId="6C2AAD08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）因素分析法。是指综合分析影响绩效目标实现、实施效果的内外部因素的方法。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可以帮助负责人找出问题的关键所在，制定相应是的决策和措施。</w:t>
      </w:r>
    </w:p>
    <w:p w14:paraId="3ACF081B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）最低成本法。是指在绩效目标确定的前提下，成本最小者为优的方法。</w:t>
      </w:r>
    </w:p>
    <w:p w14:paraId="7703B418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评价标准</w:t>
      </w:r>
    </w:p>
    <w:p w14:paraId="695F7595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绩效评价标准通常包括计划标准、行业标准、历史标准等，用于对绩效指标完成情况进行比较、分析、评价。</w:t>
      </w:r>
    </w:p>
    <w:p w14:paraId="6396BEA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计划标准。指以预先制定的目标、计划、预算、定额等作为评价标准。</w:t>
      </w:r>
    </w:p>
    <w:p w14:paraId="4C77EF8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行业标准。指参照国家公布的行业指标数据制定的评价标准。</w:t>
      </w:r>
    </w:p>
    <w:p w14:paraId="15ADE607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历史标准。指参照历史数据制定的评价标准，为体现绩效改进的原则，在可实现的条件下应当确定相对较高的评价标准。</w:t>
      </w:r>
    </w:p>
    <w:p w14:paraId="093F7C42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财政部门和预算部门确认或认可的其他标准。</w:t>
      </w:r>
    </w:p>
    <w:p w14:paraId="1B21891B">
      <w:pPr>
        <w:pStyle w:val="10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59F1D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前期准备与规划</w:t>
      </w:r>
    </w:p>
    <w:p w14:paraId="264D9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060B3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）指标体系构建</w:t>
      </w:r>
    </w:p>
    <w:p w14:paraId="69187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647B0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）数据收集与整理</w:t>
      </w:r>
    </w:p>
    <w:p w14:paraId="222FA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3F040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）数据分析与评估</w:t>
      </w:r>
    </w:p>
    <w:p w14:paraId="4E8B4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543BD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）报告撰写与反馈</w:t>
      </w:r>
    </w:p>
    <w:p w14:paraId="5CBAF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green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3E289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）后续跟踪与改进</w:t>
      </w:r>
    </w:p>
    <w:p w14:paraId="0BC62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22C5FDFF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154438E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3F85A4D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本项目的综合评价基于对项目各方面绩效的深入分析与评估。从项目目标的达成情况来看，托里县畜牧兽医站2024年动物防疫项目补助资金</w:t>
      </w:r>
      <w:bookmarkStart w:id="6" w:name="OLE_LINK7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在口蹄疫、高致病性禽流感、布病、包虫病等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方面得到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得到有效防治，</w:t>
      </w:r>
      <w:bookmarkEnd w:id="6"/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预防各类疾病的效益方面表现出色</w:t>
      </w:r>
      <w:bookmarkStart w:id="7" w:name="OLE_LINK9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  <w:bookmarkEnd w:id="7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同时，项目也在预防各类疾病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方面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取得了显著的成效，在口蹄疫、高致病性禽流感、布病、包虫病等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方面得到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得到有效防治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达到了预期的标准与要求。</w:t>
      </w:r>
    </w:p>
    <w:p w14:paraId="0F9ECF3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托里县畜牧兽医站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4889E8E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从项目效益的角度来看，本项目不仅实现了预期的社会效益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生态效益等方面产生了积极地影响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。具体而言，口蹄疫、高致病性禽流感、布病、包虫病等优先防治病种防治工作、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大规模随意抛弃病死猪事件发生率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等方面的提升，为项目的利益相关者带来了实实在在的利益。</w:t>
      </w:r>
    </w:p>
    <w:p w14:paraId="71AE1AE2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综上所述，托里县畜牧兽医站2024年动物防疫项目补助资金在绩效评价中表现出色，达到了项目的预期目标，并在多个方面取得了显著的成效。</w:t>
      </w:r>
    </w:p>
    <w:p w14:paraId="45103D7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7FF5D0B5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：总得分为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98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分，属于“优”。其中，项目决策类指标权重为20分，得分为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38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。</w:t>
      </w:r>
    </w:p>
    <w:p w14:paraId="31CCA9BD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4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195D6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73265DF9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18CC8BB8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1A423F8C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757E9F49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0800B4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A48D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B6EB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E53D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6642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25B0A6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9092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68F0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F806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4439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bookmarkStart w:id="8" w:name="OLE_LINK11"/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95%</w:t>
            </w:r>
            <w:bookmarkEnd w:id="8"/>
          </w:p>
        </w:tc>
      </w:tr>
      <w:tr w14:paraId="03B78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C536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F367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2B4F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8A28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95%</w:t>
            </w:r>
          </w:p>
        </w:tc>
      </w:tr>
      <w:tr w14:paraId="6F76D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C12C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BA88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A712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733E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57B48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1D00A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75970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598A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157D5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98%</w:t>
            </w:r>
          </w:p>
        </w:tc>
      </w:tr>
    </w:tbl>
    <w:p w14:paraId="133BC37D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452D23E9">
      <w:pPr>
        <w:pStyle w:val="10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31B833AE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701505DB"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1.项目立项</w:t>
      </w:r>
    </w:p>
    <w:p w14:paraId="4AD8D1B1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18AAB3F1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55842098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45C18EA5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Hans"/>
        </w:rPr>
        <w:t>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513697F2"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374129D8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13D7C1E5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Han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Han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3E015B8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09CC21D9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16AB43E7"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20B18062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（1）预算编制科学性</w:t>
      </w:r>
    </w:p>
    <w:p w14:paraId="2064B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763B948E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649827E9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67742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3AE97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11879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75D03FC9">
      <w:pPr>
        <w:pStyle w:val="10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310EAD67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三级指标构成，权重分值为20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2E206391"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1.资金管理</w:t>
      </w:r>
    </w:p>
    <w:p w14:paraId="4BE1E3CB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（1）资金到位率</w:t>
      </w:r>
    </w:p>
    <w:p w14:paraId="2AA71128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总投资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187.68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资金按计划进度执行。</w:t>
      </w:r>
    </w:p>
    <w:p w14:paraId="39F712FE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（2）预算执行率</w:t>
      </w:r>
    </w:p>
    <w:p w14:paraId="111497C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预算编制较为详细，项目资金支出总体能够按照预算执行，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预算资金支出</w:t>
      </w:r>
      <w:r>
        <w:rPr>
          <w:rFonts w:hint="eastAsia" w:ascii="仿宋_GB2312" w:hAnsi="楷体" w:eastAsia="仿宋_GB2312"/>
          <w:b w:val="0"/>
          <w:bCs/>
          <w:color w:val="000000"/>
          <w:spacing w:val="-4"/>
          <w:sz w:val="32"/>
          <w:szCs w:val="32"/>
          <w:highlight w:val="none"/>
          <w:lang w:val="en-US" w:eastAsia="zh-CN"/>
        </w:rPr>
        <w:t>187.67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预算执行率为99.77%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60F915DF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（3）资金使用合规性</w:t>
      </w:r>
    </w:p>
    <w:p w14:paraId="1684E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31368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57DBA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2A08D78D"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2.组织实施</w:t>
      </w:r>
    </w:p>
    <w:p w14:paraId="458F0FE2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（1）管理制度健全性</w:t>
      </w:r>
    </w:p>
    <w:p w14:paraId="27B66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3F34D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0FDA5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09865D7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0E7D82D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（2）制度执行有效性</w:t>
      </w:r>
    </w:p>
    <w:p w14:paraId="7057D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1C61F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0EFA3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70A0EAF6">
      <w:pPr>
        <w:pStyle w:val="12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7A970452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项目产出类指标包括产出数量、产出质量、产出时效、产出成本四方面的内容，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体产出指标完成情况如下：</w:t>
      </w:r>
    </w:p>
    <w:p w14:paraId="260C138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=1\*GB3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369512DD">
      <w:pPr>
        <w:shd w:val="clear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bookmarkStart w:id="9" w:name="OLE_LINK4"/>
      <w:bookmarkStart w:id="10" w:name="OLE_LINK12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</w:t>
      </w:r>
      <w:bookmarkEnd w:id="9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采购疫苗数量（重大疫病，常规疫病疫苗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125500份，实际完成值：123000份，指标完成率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bookmarkEnd w:id="10"/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0A573505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=2\*GB3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0498BC08">
      <w:pPr>
        <w:shd w:val="clear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指标1：依法对重大疫情处置率，指标值：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%，指标完成率</w:t>
      </w:r>
      <w:bookmarkStart w:id="11" w:name="OLE_LINK13"/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bookmarkEnd w:id="11"/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350B36FE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=3\*GB3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3F7CF03E">
      <w:pPr>
        <w:shd w:val="clear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bookmarkStart w:id="12" w:name="OLE_LINK14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指标1：重大动物疫情及时报告率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bookmarkEnd w:id="12"/>
    <w:p w14:paraId="3C445A3A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：项目完成时间，指标值：</w:t>
      </w:r>
      <w:bookmarkStart w:id="13" w:name="OLE_LINK15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2024年12月25日</w:t>
      </w:r>
      <w:bookmarkEnd w:id="13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，实际完成值：2024年12月25日，指标完成率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2EA68859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=4\*GB3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经济成本指标：</w:t>
      </w:r>
    </w:p>
    <w:p w14:paraId="5C848963">
      <w:pPr>
        <w:shd w:val="clear"/>
        <w:spacing w:line="600" w:lineRule="exact"/>
        <w:ind w:firstLine="640" w:firstLineChars="200"/>
        <w:outlineLvl w:val="0"/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</w:pPr>
      <w:bookmarkStart w:id="14" w:name="OLE_LINK16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指标1：采购疫苗成本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≤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14.9元/份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，实际完成值：14.9元/份，指标完成率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bookmarkEnd w:id="14"/>
    <w:p w14:paraId="1480D0D0">
      <w:pPr>
        <w:pStyle w:val="12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72AAD45A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项目效益类指标包括项目实施效益和满意度两方面的内容，由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益指标及满意度指标完成情况如下：</w:t>
      </w:r>
    </w:p>
    <w:p w14:paraId="74B23E5D">
      <w:pPr>
        <w:numPr>
          <w:ilvl w:val="0"/>
          <w:numId w:val="5"/>
        </w:num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实施效益</w:t>
      </w:r>
      <w:bookmarkStart w:id="15" w:name="OLE_LINK21"/>
    </w:p>
    <w:p w14:paraId="24EFB956">
      <w:pPr>
        <w:numPr>
          <w:ilvl w:val="0"/>
          <w:numId w:val="0"/>
        </w:num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</w:t>
      </w:r>
      <w:bookmarkEnd w:id="15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</w:p>
    <w:p w14:paraId="08403803"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bookmarkStart w:id="16" w:name="OLE_LINK18"/>
      <w:bookmarkStart w:id="17" w:name="OLE_LINK19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指标1：口蹄疫、高致病性禽流感、布病、包虫病等优先防治病种防治工作，指标值：</w:t>
      </w:r>
      <w:bookmarkStart w:id="18" w:name="OLE_LINK17"/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有效防治</w:t>
      </w:r>
      <w:bookmarkEnd w:id="18"/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有效防治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  <w:bookmarkEnd w:id="16"/>
    </w:p>
    <w:bookmarkEnd w:id="17"/>
    <w:p w14:paraId="7F01A4CD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②生态效益指标：</w:t>
      </w:r>
    </w:p>
    <w:p w14:paraId="3A23370C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指标1：大规模随意抛弃病死猪事件发生率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，指标值：</w:t>
      </w:r>
      <w:bookmarkStart w:id="19" w:name="OLE_LINK20"/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0%</w:t>
      </w:r>
      <w:bookmarkEnd w:id="19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63C36A6C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2.满意度</w:t>
      </w:r>
    </w:p>
    <w:p w14:paraId="5149F584"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①满意度指标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：</w:t>
      </w:r>
    </w:p>
    <w:p w14:paraId="2C57D9D0">
      <w:pPr>
        <w:shd w:val="clear"/>
        <w:spacing w:line="600" w:lineRule="exact"/>
        <w:ind w:firstLine="640" w:firstLineChars="200"/>
        <w:outlineLvl w:val="0"/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指标1：补助对象对政策实施的满意度，指标值：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≥</w:t>
      </w:r>
      <w:bookmarkStart w:id="20" w:name="OLE_LINK22"/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90%</w:t>
      </w:r>
      <w:bookmarkEnd w:id="2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346B6D24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Han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Hans"/>
        </w:rPr>
        <w:t>预算执行进度与绩效指标总体完成率偏差</w:t>
      </w:r>
    </w:p>
    <w:p w14:paraId="4EE80EF8">
      <w:pPr>
        <w:pStyle w:val="19"/>
        <w:spacing w:line="560" w:lineRule="exact"/>
        <w:ind w:firstLine="64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动物防疫补助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项目年初预算</w:t>
      </w:r>
      <w:bookmarkStart w:id="21" w:name="OLE_LINK8"/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187.6</w:t>
      </w:r>
      <w:bookmarkEnd w:id="21"/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万元，全年预算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187.68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万元，实际支出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187.24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万元，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预算执行率为99.77%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，项目绩效指标总体完成率为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99.77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%，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Hans" w:bidi="ar-SA"/>
        </w:rPr>
        <w:t>总体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偏差率为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0.23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%。</w:t>
      </w:r>
    </w:p>
    <w:p w14:paraId="7EBF5FAF">
      <w:pPr>
        <w:spacing w:line="560" w:lineRule="exact"/>
        <w:ind w:firstLine="640" w:firstLineChars="200"/>
        <w:rPr>
          <w:rStyle w:val="18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696DF1D6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7486147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3BDDC36C">
      <w:pPr>
        <w:pStyle w:val="10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65AD869C">
      <w:pPr>
        <w:keepNext/>
        <w:keepLines/>
        <w:numPr>
          <w:ilvl w:val="0"/>
          <w:numId w:val="6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14C749F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5B7E0F93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工作衔接不到位的情况。</w:t>
      </w:r>
    </w:p>
    <w:p w14:paraId="210885B5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1089C86D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292C55BC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2C37424A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3155A946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0C03CAC4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14F4FD84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22" w:name="page8"/>
      <w:bookmarkEnd w:id="22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293E3B90">
      <w:pPr>
        <w:pStyle w:val="13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  <w:lang w:eastAsia="zh-Hans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Hans"/>
        </w:rPr>
        <w:t>本项目无其他需说明的问题。</w:t>
      </w:r>
    </w:p>
    <w:p w14:paraId="3D057959">
      <w:pPr>
        <w:pStyle w:val="13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4FBD1A3C">
      <w:pPr>
        <w:pStyle w:val="13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08FA58A1">
      <w:pPr>
        <w:pStyle w:val="13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2DD5F238">
      <w:pPr>
        <w:pStyle w:val="13"/>
        <w:spacing w:after="0" w:line="560" w:lineRule="exact"/>
        <w:rPr>
          <w:rFonts w:hint="eastAsia" w:ascii="Times New Roman" w:hAnsi="Times New Roman" w:eastAsia="仿宋_GB2312" w:cs="Times New Roman"/>
          <w:b/>
          <w:bCs/>
          <w:color w:val="FF0000"/>
          <w:sz w:val="32"/>
          <w:szCs w:val="32"/>
          <w:lang w:eastAsia="zh-CN"/>
        </w:rPr>
      </w:pPr>
    </w:p>
    <w:p w14:paraId="461624E8">
      <w:pPr>
        <w:pStyle w:val="13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6083107F">
      <w:pPr>
        <w:spacing w:line="60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558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255DF12C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033367-C0EA-4E8F-8502-CCDD72D791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40472732-1F4E-4C2F-A935-817054B90E5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EE0AB15E-9D54-4FAF-8646-BE8D53E764CB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ED51AD78-F160-4978-81A4-659721BA930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54E3EFD-4DAD-4E14-B6AA-4E5CD4DCC4C9}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  <w:embedRegular r:id="rId6" w:fontKey="{27161F65-9CD4-4774-940C-3855B2073E1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7005B553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0839D99B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CD2B0F"/>
    <w:multiLevelType w:val="singleLevel"/>
    <w:tmpl w:val="F4CD2B0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7C8041B"/>
    <w:multiLevelType w:val="singleLevel"/>
    <w:tmpl w:val="F7C804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F9379A8"/>
    <w:multiLevelType w:val="singleLevel"/>
    <w:tmpl w:val="FF9379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116B29BF"/>
    <w:multiLevelType w:val="singleLevel"/>
    <w:tmpl w:val="116B29B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7813159"/>
    <w:multiLevelType w:val="singleLevel"/>
    <w:tmpl w:val="2781315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6FAA0AB1"/>
    <w:multiLevelType w:val="singleLevel"/>
    <w:tmpl w:val="6FAA0AB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FF6C4049"/>
    <w:rsid w:val="006F7242"/>
    <w:rsid w:val="007B168A"/>
    <w:rsid w:val="008B2CFE"/>
    <w:rsid w:val="00F26FF6"/>
    <w:rsid w:val="01610122"/>
    <w:rsid w:val="02510197"/>
    <w:rsid w:val="03EC461B"/>
    <w:rsid w:val="07397B77"/>
    <w:rsid w:val="07A777F0"/>
    <w:rsid w:val="08910258"/>
    <w:rsid w:val="08EA137E"/>
    <w:rsid w:val="09E51345"/>
    <w:rsid w:val="0AD007F3"/>
    <w:rsid w:val="0E3C619F"/>
    <w:rsid w:val="0F6273CA"/>
    <w:rsid w:val="100F38EC"/>
    <w:rsid w:val="11170296"/>
    <w:rsid w:val="12C66037"/>
    <w:rsid w:val="12CD1ABC"/>
    <w:rsid w:val="13471461"/>
    <w:rsid w:val="13B90F01"/>
    <w:rsid w:val="14126414"/>
    <w:rsid w:val="155E4C4D"/>
    <w:rsid w:val="169C1327"/>
    <w:rsid w:val="179128E8"/>
    <w:rsid w:val="181066D2"/>
    <w:rsid w:val="1C671E73"/>
    <w:rsid w:val="1D322C47"/>
    <w:rsid w:val="2301500F"/>
    <w:rsid w:val="23616034"/>
    <w:rsid w:val="23696C97"/>
    <w:rsid w:val="24480FA2"/>
    <w:rsid w:val="24F720B4"/>
    <w:rsid w:val="25227A45"/>
    <w:rsid w:val="26AC3A6A"/>
    <w:rsid w:val="2B9D7E25"/>
    <w:rsid w:val="2C2808C7"/>
    <w:rsid w:val="2C7C7A3B"/>
    <w:rsid w:val="2F364819"/>
    <w:rsid w:val="2FD63906"/>
    <w:rsid w:val="37215DAE"/>
    <w:rsid w:val="38CA40DD"/>
    <w:rsid w:val="395F2B56"/>
    <w:rsid w:val="3BBA0580"/>
    <w:rsid w:val="3BECE841"/>
    <w:rsid w:val="3CDE204C"/>
    <w:rsid w:val="3D363C36"/>
    <w:rsid w:val="3E9C3F6D"/>
    <w:rsid w:val="3EF91D27"/>
    <w:rsid w:val="3FF7797D"/>
    <w:rsid w:val="40826CAC"/>
    <w:rsid w:val="42150A80"/>
    <w:rsid w:val="46690BD8"/>
    <w:rsid w:val="49F70BF1"/>
    <w:rsid w:val="4B062A1A"/>
    <w:rsid w:val="4B4340EE"/>
    <w:rsid w:val="503D507A"/>
    <w:rsid w:val="51FA74D0"/>
    <w:rsid w:val="52AA4A52"/>
    <w:rsid w:val="539D3AD1"/>
    <w:rsid w:val="54DA6356"/>
    <w:rsid w:val="54EC17C6"/>
    <w:rsid w:val="58C33E47"/>
    <w:rsid w:val="59943D66"/>
    <w:rsid w:val="59E051FD"/>
    <w:rsid w:val="59E6355E"/>
    <w:rsid w:val="5A3456CD"/>
    <w:rsid w:val="5B821531"/>
    <w:rsid w:val="5BFF6039"/>
    <w:rsid w:val="5D76A616"/>
    <w:rsid w:val="5D7F20B9"/>
    <w:rsid w:val="5DAC7D0E"/>
    <w:rsid w:val="5F98B5AF"/>
    <w:rsid w:val="5FB071FD"/>
    <w:rsid w:val="5FFE8511"/>
    <w:rsid w:val="5FFEACE2"/>
    <w:rsid w:val="609D5BF6"/>
    <w:rsid w:val="61073070"/>
    <w:rsid w:val="61B9080E"/>
    <w:rsid w:val="61DF3FED"/>
    <w:rsid w:val="642B176B"/>
    <w:rsid w:val="643EE26D"/>
    <w:rsid w:val="656019A0"/>
    <w:rsid w:val="65BC5449"/>
    <w:rsid w:val="65F242EE"/>
    <w:rsid w:val="666D7E19"/>
    <w:rsid w:val="67861BD9"/>
    <w:rsid w:val="68344A37"/>
    <w:rsid w:val="68376930"/>
    <w:rsid w:val="68C66A37"/>
    <w:rsid w:val="68F91E38"/>
    <w:rsid w:val="699212D2"/>
    <w:rsid w:val="6B3158B9"/>
    <w:rsid w:val="6BA02A3F"/>
    <w:rsid w:val="6C105349"/>
    <w:rsid w:val="6C1E5A53"/>
    <w:rsid w:val="6E565E3F"/>
    <w:rsid w:val="6F5C41AC"/>
    <w:rsid w:val="6FAF6C78"/>
    <w:rsid w:val="70B40B82"/>
    <w:rsid w:val="716167CC"/>
    <w:rsid w:val="71724639"/>
    <w:rsid w:val="718A7AD1"/>
    <w:rsid w:val="72A44BC2"/>
    <w:rsid w:val="7317C656"/>
    <w:rsid w:val="734ED73F"/>
    <w:rsid w:val="73C82B32"/>
    <w:rsid w:val="73F94DAE"/>
    <w:rsid w:val="74220495"/>
    <w:rsid w:val="747D1B6F"/>
    <w:rsid w:val="749E5641"/>
    <w:rsid w:val="751B2539"/>
    <w:rsid w:val="76271066"/>
    <w:rsid w:val="77FD8BE9"/>
    <w:rsid w:val="78000AED"/>
    <w:rsid w:val="79A9BD3F"/>
    <w:rsid w:val="7B776F12"/>
    <w:rsid w:val="7BFFFDD0"/>
    <w:rsid w:val="7C336E5F"/>
    <w:rsid w:val="7C8D4919"/>
    <w:rsid w:val="7D7A5F86"/>
    <w:rsid w:val="7E4B683A"/>
    <w:rsid w:val="7E5E656D"/>
    <w:rsid w:val="7E8F2BCB"/>
    <w:rsid w:val="7F37BB4E"/>
    <w:rsid w:val="7FEF918E"/>
    <w:rsid w:val="7FF4FB6F"/>
    <w:rsid w:val="7FF7FF27"/>
    <w:rsid w:val="7FFDF714"/>
    <w:rsid w:val="AF3FCD8C"/>
    <w:rsid w:val="B9FA2A43"/>
    <w:rsid w:val="BF7BA1E4"/>
    <w:rsid w:val="BFDF04FA"/>
    <w:rsid w:val="BFE227EF"/>
    <w:rsid w:val="CF2A1ABD"/>
    <w:rsid w:val="DA7D3CD9"/>
    <w:rsid w:val="DBDC0ADA"/>
    <w:rsid w:val="DEDE2B06"/>
    <w:rsid w:val="EBFA31C2"/>
    <w:rsid w:val="F3F4A11B"/>
    <w:rsid w:val="F9FD7907"/>
    <w:rsid w:val="FAEF933D"/>
    <w:rsid w:val="FB3A4A6A"/>
    <w:rsid w:val="FF6C4049"/>
    <w:rsid w:val="FF78F63F"/>
    <w:rsid w:val="FF8D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6">
    <w:name w:val="Balloon Text"/>
    <w:basedOn w:val="1"/>
    <w:link w:val="20"/>
    <w:qFormat/>
    <w:uiPriority w:val="0"/>
    <w:rPr>
      <w:sz w:val="18"/>
      <w:szCs w:val="18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1">
    <w:name w:val="annotation subject"/>
    <w:basedOn w:val="3"/>
    <w:next w:val="3"/>
    <w:link w:val="23"/>
    <w:qFormat/>
    <w:uiPriority w:val="0"/>
    <w:rPr>
      <w:b/>
      <w:bCs/>
    </w:rPr>
  </w:style>
  <w:style w:type="paragraph" w:styleId="12">
    <w:name w:val="Body Text First Indent"/>
    <w:basedOn w:val="4"/>
    <w:qFormat/>
    <w:uiPriority w:val="0"/>
    <w:pPr>
      <w:spacing w:after="0"/>
      <w:ind w:firstLine="200" w:firstLineChars="200"/>
    </w:pPr>
  </w:style>
  <w:style w:type="paragraph" w:styleId="13">
    <w:name w:val="Body Text First Indent 2"/>
    <w:basedOn w:val="5"/>
    <w:qFormat/>
    <w:uiPriority w:val="0"/>
    <w:pPr>
      <w:ind w:firstLine="420" w:firstLineChars="200"/>
    </w:pPr>
  </w:style>
  <w:style w:type="character" w:styleId="16">
    <w:name w:val="Strong"/>
    <w:basedOn w:val="15"/>
    <w:qFormat/>
    <w:uiPriority w:val="0"/>
    <w:rPr>
      <w:b/>
      <w:bCs/>
    </w:rPr>
  </w:style>
  <w:style w:type="character" w:styleId="17">
    <w:name w:val="annotation reference"/>
    <w:basedOn w:val="15"/>
    <w:qFormat/>
    <w:uiPriority w:val="0"/>
    <w:rPr>
      <w:sz w:val="21"/>
      <w:szCs w:val="21"/>
    </w:rPr>
  </w:style>
  <w:style w:type="character" w:customStyle="1" w:styleId="18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19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0">
    <w:name w:val="批注框文本 字符"/>
    <w:basedOn w:val="15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页眉 字符"/>
    <w:basedOn w:val="15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批注文字 字符"/>
    <w:basedOn w:val="15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批注主题 字符"/>
    <w:basedOn w:val="22"/>
    <w:link w:val="11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10059</Words>
  <Characters>10413</Characters>
  <Lines>58</Lines>
  <Paragraphs>16</Paragraphs>
  <TotalTime>0</TotalTime>
  <ScaleCrop>false</ScaleCrop>
  <LinksUpToDate>false</LinksUpToDate>
  <CharactersWithSpaces>10420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周丽君</cp:lastModifiedBy>
  <dcterms:modified xsi:type="dcterms:W3CDTF">2025-10-31T09:36:42Z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eyJoZGlkIjoiMjEwMjVmNmU3OTQwZDBjNjI0ZTM3MTBmNDI0OGIzYzIiLCJ1c2VySWQiOiIyMDM3MTI1NTkifQ==</vt:lpwstr>
  </property>
</Properties>
</file>