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B9525AF"/>
    <w:p w14:paraId="773712E6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6EB639FA">
      <w:pPr>
        <w:spacing w:line="540" w:lineRule="exact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698FCCEE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2DC4F44D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574312A0">
      <w:pPr>
        <w:spacing w:line="540" w:lineRule="exact"/>
        <w:jc w:val="center"/>
        <w:rPr>
          <w:rFonts w:hint="default" w:ascii="Times New Roman" w:hAnsi="Times New Roman" w:eastAsia="方正小标宋_GBK" w:cs="Times New Roman"/>
          <w:kern w:val="0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_GBK" w:cs="Times New Roman"/>
          <w:kern w:val="0"/>
          <w:sz w:val="48"/>
          <w:szCs w:val="48"/>
          <w:lang w:eastAsia="zh-CN"/>
        </w:rPr>
        <w:t>托里县动物卫生监督所动物防疫补助资金</w:t>
      </w:r>
      <w:r>
        <w:rPr>
          <w:rFonts w:hint="default" w:ascii="Times New Roman" w:hAnsi="Times New Roman" w:eastAsia="方正小标宋_GBK" w:cs="Times New Roman"/>
          <w:kern w:val="0"/>
          <w:sz w:val="48"/>
          <w:szCs w:val="48"/>
          <w:lang w:eastAsia="zh-CN"/>
        </w:rPr>
        <w:t>项目支出绩效评价</w:t>
      </w:r>
    </w:p>
    <w:p w14:paraId="7AD5CFF6">
      <w:pPr>
        <w:spacing w:line="540" w:lineRule="exact"/>
        <w:jc w:val="center"/>
        <w:rPr>
          <w:rFonts w:hint="default" w:eastAsia="方正小标宋_GBK" w:cs="Times New Roman"/>
          <w:kern w:val="0"/>
          <w:sz w:val="48"/>
          <w:szCs w:val="48"/>
          <w:lang w:eastAsia="zh-CN"/>
        </w:rPr>
      </w:pPr>
      <w:r>
        <w:rPr>
          <w:rFonts w:hint="default" w:ascii="Times New Roman" w:hAnsi="Times New Roman" w:eastAsia="方正小标宋_GBK" w:cs="Times New Roman"/>
          <w:kern w:val="0"/>
          <w:sz w:val="48"/>
          <w:szCs w:val="48"/>
          <w:lang w:eastAsia="zh-CN"/>
        </w:rPr>
        <w:t>报告</w:t>
      </w:r>
    </w:p>
    <w:p w14:paraId="34503046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kern w:val="0"/>
          <w:sz w:val="52"/>
          <w:szCs w:val="52"/>
        </w:rPr>
      </w:pPr>
    </w:p>
    <w:p w14:paraId="0C6EE52C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（202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年度）</w:t>
      </w:r>
    </w:p>
    <w:p w14:paraId="125F0405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259CADB9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6B21662B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6CA16C4C">
      <w:pPr>
        <w:pStyle w:val="10"/>
        <w:rPr>
          <w:rFonts w:hint="default" w:ascii="Times New Roman" w:hAnsi="Times New Roman" w:cs="Times New Roman"/>
        </w:rPr>
      </w:pPr>
    </w:p>
    <w:p w14:paraId="21B3B8F1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0CE1AFC9">
      <w:pPr>
        <w:spacing w:line="700" w:lineRule="exact"/>
        <w:ind w:left="3236" w:leftChars="684" w:hanging="1800" w:hangingChars="5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项目名称：</w:t>
      </w:r>
      <w:r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  <w:t>托里县动物卫生监督所动物防疫补助资金项目</w:t>
      </w:r>
    </w:p>
    <w:p w14:paraId="489228E2">
      <w:pPr>
        <w:spacing w:line="700" w:lineRule="exact"/>
        <w:ind w:left="3236" w:leftChars="684" w:hanging="1800" w:hangingChars="5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实施单位（公章）：</w:t>
      </w:r>
      <w:r>
        <w:rPr>
          <w:rFonts w:hint="eastAsia" w:eastAsia="仿宋_GB2312" w:cs="Times New Roman"/>
          <w:kern w:val="0"/>
          <w:sz w:val="36"/>
          <w:szCs w:val="36"/>
          <w:lang w:eastAsia="zh-CN"/>
        </w:rPr>
        <w:t>托里县动物卫生监督所</w:t>
      </w:r>
    </w:p>
    <w:p w14:paraId="0187E711">
      <w:pPr>
        <w:spacing w:line="700" w:lineRule="exact"/>
        <w:ind w:left="3236" w:leftChars="684" w:hanging="1800" w:hangingChars="5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主管部门（公章）：</w:t>
      </w:r>
      <w:r>
        <w:rPr>
          <w:rFonts w:hint="eastAsia" w:eastAsia="仿宋_GB2312" w:cs="Times New Roman"/>
          <w:kern w:val="0"/>
          <w:sz w:val="36"/>
          <w:szCs w:val="36"/>
          <w:lang w:eastAsia="zh-CN"/>
        </w:rPr>
        <w:t>托里县农业农村局</w:t>
      </w:r>
    </w:p>
    <w:p w14:paraId="38B289CB">
      <w:pPr>
        <w:spacing w:line="700" w:lineRule="exact"/>
        <w:ind w:left="3236" w:leftChars="684" w:hanging="1800" w:hangingChars="500"/>
        <w:jc w:val="left"/>
        <w:rPr>
          <w:rFonts w:hint="eastAsia" w:ascii="Times New Roman" w:hAnsi="Times New Roman" w:eastAsia="仿宋_GB2312" w:cs="Times New Roman"/>
          <w:kern w:val="0"/>
          <w:sz w:val="36"/>
          <w:szCs w:val="36"/>
          <w:lang w:eastAsia="zh-CN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项目负责人（签章）：</w:t>
      </w:r>
      <w:r>
        <w:rPr>
          <w:rFonts w:hint="eastAsia" w:eastAsia="仿宋_GB2312" w:cs="Times New Roman"/>
          <w:kern w:val="0"/>
          <w:sz w:val="36"/>
          <w:szCs w:val="36"/>
          <w:lang w:eastAsia="zh-CN"/>
        </w:rPr>
        <w:t>张新梅</w:t>
      </w:r>
    </w:p>
    <w:p w14:paraId="0270FFCE">
      <w:pPr>
        <w:spacing w:line="700" w:lineRule="exact"/>
        <w:ind w:left="3236" w:leftChars="684" w:hanging="1800" w:hangingChars="500"/>
        <w:jc w:val="left"/>
        <w:rPr>
          <w:rFonts w:hint="default" w:ascii="Times New Roman" w:hAnsi="Times New Roman" w:eastAsia="仿宋_GB2312" w:cs="Times New Roman"/>
          <w:kern w:val="0"/>
          <w:sz w:val="36"/>
          <w:szCs w:val="36"/>
        </w:rPr>
      </w:pP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填报时间：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年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月</w:t>
      </w:r>
      <w:r>
        <w:rPr>
          <w:rFonts w:hint="eastAsia" w:eastAsia="仿宋_GB2312" w:cs="Times New Roman"/>
          <w:kern w:val="0"/>
          <w:sz w:val="36"/>
          <w:szCs w:val="36"/>
          <w:lang w:val="en-US" w:eastAsia="zh-CN"/>
        </w:rPr>
        <w:t>17</w:t>
      </w:r>
      <w:r>
        <w:rPr>
          <w:rFonts w:hint="default" w:ascii="Times New Roman" w:hAnsi="Times New Roman" w:eastAsia="仿宋_GB2312" w:cs="Times New Roman"/>
          <w:kern w:val="0"/>
          <w:sz w:val="36"/>
          <w:szCs w:val="36"/>
        </w:rPr>
        <w:t>日</w:t>
      </w:r>
    </w:p>
    <w:p w14:paraId="721DDAD9">
      <w:pPr>
        <w:spacing w:line="540" w:lineRule="exact"/>
        <w:jc w:val="center"/>
        <w:rPr>
          <w:rFonts w:hint="default" w:ascii="Times New Roman" w:hAnsi="Times New Roman" w:eastAsia="仿宋_GB2312" w:cs="Times New Roman"/>
          <w:kern w:val="0"/>
          <w:sz w:val="30"/>
          <w:szCs w:val="30"/>
        </w:rPr>
      </w:pPr>
    </w:p>
    <w:p w14:paraId="29F56791">
      <w:pPr>
        <w:spacing w:line="540" w:lineRule="exact"/>
        <w:rPr>
          <w:rStyle w:val="16"/>
          <w:rFonts w:hint="default" w:ascii="Times New Roman" w:hAnsi="Times New Roman" w:eastAsia="黑体" w:cs="Times New Roman"/>
          <w:b w:val="0"/>
          <w:spacing w:val="-4"/>
          <w:sz w:val="32"/>
          <w:szCs w:val="32"/>
        </w:rPr>
      </w:pPr>
    </w:p>
    <w:p w14:paraId="270C46BE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一、基本情况</w:t>
      </w:r>
    </w:p>
    <w:p w14:paraId="5CC50668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（一）项目概况</w:t>
      </w:r>
    </w:p>
    <w:p w14:paraId="3C15CFF9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项目背景</w:t>
      </w:r>
    </w:p>
    <w:p w14:paraId="4D590BD7">
      <w:pPr>
        <w:spacing w:line="560" w:lineRule="exact"/>
        <w:ind w:firstLine="640" w:firstLineChars="200"/>
        <w:rPr>
          <w:rStyle w:val="16"/>
          <w:rFonts w:hint="default" w:ascii="Times New Roman" w:hAnsi="Times New Roman" w:eastAsia="黑体" w:cs="Times New Roman"/>
          <w:b w:val="0"/>
          <w:bCs/>
          <w:spacing w:val="-4"/>
          <w:sz w:val="32"/>
          <w:szCs w:val="32"/>
          <w:highlight w:val="yellow"/>
          <w:lang w:eastAsia="zh-CN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(1)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宣传贯彻、落实《中华人民共和国动物防疫法》、《新疆维吾尔自治区动物防疫条例》、《重大动物疫情应急条例》等相关的法律、法规,为保障我县畜牧业健康发展奠定良好的基础;(2)依法开展动物防疫执法监督，保证重大动物疫病的防疫密度及防疫覆盖面，严厉打击破坏阻碍防疫工作的不法行为;(3)依法开展动物及动物产品的检疫监管，保证牲畜及畜产品的产地检疫，屠宰检疫及市场流通领域的安全，保障人民身体健康;(4)依法开展兽药，饲料及添加剂市场的执法监管，严厉打击经营假冒伪劣，未通过GMP认证，过期兽药的违法行为;(5)依法开展动物标识的佩戴和管理工作。完善动物疾病追溯体系建设。</w:t>
      </w:r>
    </w:p>
    <w:p w14:paraId="54D3C0BF">
      <w:pPr>
        <w:pStyle w:val="10"/>
        <w:numPr>
          <w:ilvl w:val="0"/>
          <w:numId w:val="0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kern w:val="2"/>
        </w:rPr>
      </w:pPr>
      <w:r>
        <w:rPr>
          <w:rFonts w:hint="default" w:ascii="Times New Roman" w:hAnsi="Times New Roman" w:eastAsia="仿宋_GB2312" w:cs="Times New Roman"/>
          <w:kern w:val="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kern w:val="2"/>
        </w:rPr>
        <w:t>项目主要内容：</w:t>
      </w:r>
    </w:p>
    <w:p w14:paraId="25650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2" w:firstLineChars="200"/>
        <w:jc w:val="both"/>
        <w:textAlignment w:val="auto"/>
        <w:rPr>
          <w:rFonts w:hint="default" w:ascii="Times New Roman" w:hAnsi="Times New Roman" w:eastAsia="黑体" w:cs="Times New Roman"/>
          <w:highlight w:val="yellow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0"/>
          <w:szCs w:val="30"/>
          <w:highlight w:val="none"/>
          <w:lang w:val="en-US" w:eastAsia="zh-CN"/>
        </w:rPr>
        <w:t>项目主要内容：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关于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提前下达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2024年自治区动物防疫补助资金预算的通知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（塔城财农</w:t>
      </w:r>
      <w:r>
        <w:rPr>
          <w:rFonts w:hint="eastAsia" w:ascii="Times New Roman" w:hAnsi="Times New Roman" w:eastAsia="仿宋_GB2312"/>
          <w:bCs/>
          <w:sz w:val="32"/>
          <w:szCs w:val="32"/>
          <w:lang w:val="en-US" w:eastAsia="zh-CN"/>
        </w:rPr>
        <w:t>[2022]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56号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）（新财农</w:t>
      </w:r>
      <w:r>
        <w:rPr>
          <w:rFonts w:hint="eastAsia" w:ascii="Times New Roman" w:hAnsi="Times New Roman" w:eastAsia="仿宋_GB2312"/>
          <w:bCs/>
          <w:sz w:val="32"/>
          <w:szCs w:val="32"/>
          <w:lang w:val="en-US" w:eastAsia="zh-CN"/>
        </w:rPr>
        <w:t>[2022]98号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）文件要求，强化资金使用监管，严格执行有关财政制度，确保资金安全规范使用。进一步加强预算绩效管理，切实提高财政资金使用效益，做好绩效目标。</w:t>
      </w:r>
      <w:bookmarkStart w:id="0" w:name="OLE_LINK1"/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托里县动物卫生监督所负担着全县的动物及动物产品流通监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管责任，主要负责活畜及畜产品调运前的疫病监测、“瘦肉精”检测、消毒等质量安全监管工作。全县目前共有7个牛羊定点屠宰场，检疫员需要认真做好进场牲畜查证验物，严格按照检疫操作规程实施宰前、宰中及宰后检疫，对不合格的病害肉按照无害化处理的要求进行无害化处理，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7个乡镇官方兽医人员，需要认真做好进场牲畜查证验物，佩戴畜禽标识耳标佩戴，全力保障我县畜产品质量安全，跨省调入，调出动物流通及落地监管工作。经地区财政局与地区畜牧兽医局研究，根据托里县畜牧兽医局2024年动物防疫补助资金配方案，现将2024年自治区动物防疫补助资金下达托里县动物卫检监督所5.1万元，其中畜禽标识（耳标）采购1.5万元，动物检疫标志（牛羊卡环）采购0.5万元，动物（动物产品）流通及落地监管工作补助3.1万元。（1）加强布病等动物疫病检测、“瘦肉精”等违禁药品检测。（2）定点屠宰场牛羊胴体检疫合格卡环的佩戴。（3）加强跨省调入，调出动物流通及落地监管理及佩戴电子耳标。（4）加强对动物及其产品运输车辆的消毒。（5）加强对动物防疫、检疫以及畜产品质量安全知识的宣传力度。</w:t>
      </w:r>
    </w:p>
    <w:p w14:paraId="5569B704">
      <w:pPr>
        <w:spacing w:line="560" w:lineRule="exact"/>
        <w:ind w:firstLine="643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项目实施情况：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托里县动物防疫补助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项目的实施主体为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托里县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动物卫生监督所。2024年动物防疫补助资金项目5.1万元，用于采购牛、羊耳标4.71万枚，采购卡环1.9230万枚，加强跨省调入，调出动物流通及落地监管理动物检疫合格证（动物A）400本，动物产品标签18.384万枚加强对动物防疫、检疫以及畜产品质量安全知识的宣传力度的经费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有效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提高动物和动物产品质量，群众满意度达到100%。</w:t>
      </w:r>
    </w:p>
    <w:p w14:paraId="30FDDE85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资金投入和使用情况</w:t>
      </w:r>
    </w:p>
    <w:p w14:paraId="37CCCC7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（1）资金投入情况</w:t>
      </w:r>
    </w:p>
    <w:p w14:paraId="7C334DA7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/>
        </w:rPr>
        <w:t>根据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托里县财政局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/>
        </w:rPr>
        <w:t>《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关于提前下达2024年自治区动物防疫补助资金预算的通知》（塔地财农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〔2022〕56号）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/>
        </w:rPr>
        <w:t>文件，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动物防疫补助项目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/>
        </w:rPr>
        <w:t>预算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安排资金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/>
        </w:rPr>
        <w:t>总额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5.1万元，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/>
        </w:rPr>
        <w:t>其中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财政资金5.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万元、其他资金3.1万元；2024年实际收到预算资金3.1万元，预算资金到位率为100%。</w:t>
      </w:r>
    </w:p>
    <w:p w14:paraId="5162A06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（2）资金使用情况</w:t>
      </w:r>
    </w:p>
    <w:p w14:paraId="140403CD">
      <w:pPr>
        <w:pStyle w:val="9"/>
        <w:widowControl/>
        <w:spacing w:before="0" w:beforeAutospacing="0" w:after="0" w:afterAutospacing="0" w:line="570" w:lineRule="exact"/>
        <w:ind w:firstLine="640" w:firstLineChars="200"/>
        <w:jc w:val="both"/>
        <w:rPr>
          <w:rFonts w:hint="eastAsia" w:ascii="仿宋_GB2312" w:hAnsi="仿宋" w:eastAsia="仿宋_GB2312" w:cs="仿宋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ascii="仿宋_GB2312" w:eastAsia="仿宋_GB2312" w:cs="仿宋"/>
          <w:sz w:val="32"/>
          <w:szCs w:val="32"/>
          <w:lang w:val="en-US" w:eastAsia="zh-CN"/>
        </w:rPr>
        <w:t>5.1</w:t>
      </w:r>
      <w:r>
        <w:rPr>
          <w:rFonts w:hint="eastAsia" w:ascii="仿宋_GB2312" w:eastAsia="仿宋_GB2312" w:cs="仿宋"/>
          <w:sz w:val="32"/>
          <w:szCs w:val="32"/>
        </w:rPr>
        <w:t>万元</w:t>
      </w:r>
      <w:r>
        <w:rPr>
          <w:rFonts w:hint="eastAsia" w:ascii="仿宋_GB2312" w:eastAsia="仿宋_GB2312" w:cs="仿宋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全年预算数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5.1万元，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全年执行数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5.1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</w:t>
      </w:r>
    </w:p>
    <w:p w14:paraId="4D110B2C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（二）项目绩效目标</w:t>
      </w:r>
    </w:p>
    <w:p w14:paraId="0E158B29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总体目标</w:t>
      </w:r>
    </w:p>
    <w:p w14:paraId="059F1DC3"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动物防疫补助资金项目5.1万元，用于采购牛耳标1.71万枚，采购羊耳标3万枚，采购卡环1.923万枚，加强跨省调入，调出动物流通及落地监管理动物检疫合格证（动物A）400本，动物产品标签18.384万枚加强对动物防疫、检疫以及畜产品质量安全知识的宣传力度的经费，提高动物和动物产品质量，群众满意度达到95%。</w:t>
      </w:r>
    </w:p>
    <w:p w14:paraId="3D07F08F">
      <w:pPr>
        <w:numPr>
          <w:ilvl w:val="0"/>
          <w:numId w:val="1"/>
        </w:num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阶段性目标</w:t>
      </w:r>
    </w:p>
    <w:p w14:paraId="2AD3763A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年中目标：完成资金支付达到60%。督促驻场官方兽医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严格监督屠宰牲畜进厂监管。</w:t>
      </w:r>
    </w:p>
    <w:p w14:paraId="7B954F55">
      <w:pPr>
        <w:numPr>
          <w:ilvl w:val="0"/>
          <w:numId w:val="0"/>
        </w:numPr>
        <w:spacing w:line="560" w:lineRule="exact"/>
        <w:ind w:firstLine="640" w:firstLineChars="200"/>
        <w:rPr>
          <w:rFonts w:hint="default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终目标：完成资金支付达到100%，包括查验动物产地检疫合格证明、耳标佩戴情况，严格按照检疫操作规程实施宰前、宰中和宰后检疫，规范出具动物产品检疫合格证明并佩戴验讫标志卡环，确保入场屠宰畜禽耳标佩戴率为100%，动物产地检疫持有率100%。</w:t>
      </w:r>
    </w:p>
    <w:p w14:paraId="5204368B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二、绩效评价工作开展情况</w:t>
      </w:r>
    </w:p>
    <w:p w14:paraId="62933289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（一）绩效评价目的、对象和范围</w:t>
      </w:r>
    </w:p>
    <w:p w14:paraId="687F5B31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1.绩效评价完整性</w:t>
      </w:r>
    </w:p>
    <w:p w14:paraId="121C5EF8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27FDDAE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评价指标体系的构建上，充分考虑了项目的性质、目标以及预期成果，选取了具有代表性和可衡量性的关键指标，涵盖了社会效益维度，力求全方位反映项目的绩效状况。同时，对于每个指标的评价标准和数据来源均进行了明确说明，确保评价结果的客观性和可追溯性。</w:t>
      </w:r>
    </w:p>
    <w:p w14:paraId="64951C9E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5D6EAFC7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3BDFA81A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5095B94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绩效评价的目的</w:t>
      </w:r>
    </w:p>
    <w:p w14:paraId="2C640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（1）评估项目实施效果</w:t>
      </w:r>
    </w:p>
    <w:p w14:paraId="49239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通过对项目预算执行情况及各项绩效目标达成程度的系统性分析，全面、客观地评估项目在预定周期内的实施效果，包括社会效益维度指标，为项目后续的改进与优化提供科学依据。</w:t>
      </w:r>
    </w:p>
    <w:p w14:paraId="4EB77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（2）提升资源利用效率</w:t>
      </w:r>
    </w:p>
    <w:p w14:paraId="3BFC3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6A3B73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（3）强化项目管理责任</w:t>
      </w:r>
    </w:p>
    <w:p w14:paraId="2901E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7BCF17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（4）为决策提供支持</w:t>
      </w:r>
    </w:p>
    <w:p w14:paraId="031885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068270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（5）促进项目持续改进</w:t>
      </w:r>
    </w:p>
    <w:p w14:paraId="40F6D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37094319">
      <w:pPr>
        <w:spacing w:line="570" w:lineRule="exact"/>
        <w:ind w:firstLine="640"/>
        <w:rPr>
          <w:rFonts w:hint="default" w:ascii="仿宋_GB2312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社会效益。</w:t>
      </w:r>
    </w:p>
    <w:p w14:paraId="4A7531AE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绩效评价的对象</w:t>
      </w:r>
    </w:p>
    <w:p w14:paraId="43A49043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本项目预算绩效评价报告的评价对象是</w:t>
      </w:r>
      <w:r>
        <w:rPr>
          <w:rFonts w:hint="eastAsia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动物防疫补助资金项目</w:t>
      </w:r>
      <w:r>
        <w:rPr>
          <w:rFonts w:hint="default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及其预算执行情况。该项目由</w:t>
      </w:r>
      <w:r>
        <w:rPr>
          <w:rFonts w:hint="eastAsia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托里县动物卫生监督所</w:t>
      </w:r>
      <w:r>
        <w:rPr>
          <w:rFonts w:hint="default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负责实施，旨在动物产品标签18.384万枚加强对动物防疫、检疫以及畜产品质量安全知识的宣传力度的经费，提高动物和动物产品质量。项目预算涵盖从</w:t>
      </w:r>
      <w:r>
        <w:rPr>
          <w:rFonts w:hint="eastAsia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2024年1月1日</w:t>
      </w:r>
      <w:r>
        <w:rPr>
          <w:rFonts w:hint="default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至</w:t>
      </w:r>
      <w:r>
        <w:rPr>
          <w:rFonts w:hint="eastAsia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2024年12月25日</w:t>
      </w:r>
      <w:r>
        <w:rPr>
          <w:rFonts w:hint="default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的全部资金投入与支出，涉及资金总额为</w:t>
      </w:r>
      <w:r>
        <w:rPr>
          <w:rFonts w:hint="eastAsia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5.1</w:t>
      </w:r>
      <w:r>
        <w:rPr>
          <w:rFonts w:hint="default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万元。</w:t>
      </w:r>
    </w:p>
    <w:p w14:paraId="5A226534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highlight w:val="none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 w:val="0"/>
          <w:highlight w:val="none"/>
        </w:rPr>
        <w:t>绩效评价的范围</w:t>
      </w:r>
    </w:p>
    <w:p w14:paraId="1A3ED419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2488B044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（1）</w:t>
      </w:r>
      <w:r>
        <w:rPr>
          <w:rFonts w:hint="default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项目预算编制与执行：全面审视项目预算的编制依据、合理性、科学性以及实际执行情况，包括预算调整的原因和效果。</w:t>
      </w:r>
    </w:p>
    <w:p w14:paraId="2BE7DC2E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（2）</w:t>
      </w:r>
      <w:r>
        <w:rPr>
          <w:rFonts w:hint="default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资金管理：深入分析项目资金的分配、使用和监管情况，确保资金使用的合规性、高效性和透明度。</w:t>
      </w:r>
    </w:p>
    <w:p w14:paraId="76C7DE6E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（3）</w:t>
      </w:r>
      <w:r>
        <w:rPr>
          <w:rFonts w:hint="default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项目实施进度与产出：评估项目是否按照既定计划顺利推进，各项任务是否按时完成，以及项目产出的数量、质量和时效性是否符合预期。</w:t>
      </w:r>
    </w:p>
    <w:p w14:paraId="015AF9C4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（4）</w:t>
      </w:r>
      <w:r>
        <w:rPr>
          <w:rFonts w:hint="default" w:ascii="仿宋_GB2312" w:hAnsi="Times New Roman" w:eastAsia="仿宋_GB2312" w:cs="Times New Roman"/>
          <w:b w:val="0"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社会影响：考察项目对社会方面的影响。</w:t>
      </w:r>
    </w:p>
    <w:p w14:paraId="591C1E24">
      <w:pPr>
        <w:pStyle w:val="10"/>
        <w:widowControl w:val="0"/>
        <w:spacing w:before="0" w:after="0" w:line="560" w:lineRule="exact"/>
        <w:ind w:firstLine="643" w:firstLineChars="200"/>
        <w:jc w:val="both"/>
        <w:outlineLvl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（二）绩效评价原则、评价指标体系（详情见表1）、评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价方法、评价标准。</w:t>
      </w:r>
    </w:p>
    <w:p w14:paraId="59072BF3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1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绩效评价原则</w:t>
      </w:r>
    </w:p>
    <w:p w14:paraId="197942C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</w:rPr>
        <w:t>本次项目绩效评价遵循以下基本原则：</w:t>
      </w:r>
    </w:p>
    <w:p w14:paraId="5258F21D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（1）科学公正。绩效评价应当运用科学合理的方法，按照规范的程序，对项目绩效进行客观、公正的反映。</w:t>
      </w:r>
    </w:p>
    <w:p w14:paraId="1CFE6CD4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3A5F0138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491F5D6E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（4）公开透明。绩效评价结果应依法依规公开，并自觉接受社会监督。</w:t>
      </w:r>
    </w:p>
    <w:p w14:paraId="47AEF196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 w:val="0"/>
          <w:bCs w:val="0"/>
        </w:rPr>
        <w:t>评价指标体系</w:t>
      </w:r>
    </w:p>
    <w:p w14:paraId="38A188FC">
      <w:pPr>
        <w:spacing w:line="560" w:lineRule="exact"/>
        <w:ind w:firstLine="708" w:firstLineChars="200"/>
        <w:rPr>
          <w:rFonts w:hint="default" w:ascii="Times New Roman" w:hAnsi="Times New Roman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3169133F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（1）确定评价指标</w:t>
      </w:r>
    </w:p>
    <w:p w14:paraId="03524612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7B8E43EB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（2）确定权重</w:t>
      </w:r>
    </w:p>
    <w:p w14:paraId="021110EB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FF0000"/>
          <w:spacing w:val="17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07ABB20A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（3）确定指标标准值</w:t>
      </w:r>
    </w:p>
    <w:p w14:paraId="3411D6B3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52683F10">
      <w:pPr>
        <w:pStyle w:val="10"/>
        <w:spacing w:before="0" w:after="0" w:line="560" w:lineRule="exact"/>
        <w:ind w:firstLine="708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  <w:kern w:val="2"/>
        </w:rPr>
        <w:t>绩效评价总分值100分，根据综合评分结果，90（含）-100分为优、80（含）-90分为良、60（含）-80分为中、60分以下为差。</w:t>
      </w:r>
    </w:p>
    <w:p w14:paraId="223E67CD">
      <w:pPr>
        <w:pStyle w:val="10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spacing w:val="17"/>
        </w:rPr>
        <w:t>具体评价指标体系详情见附件1</w:t>
      </w:r>
    </w:p>
    <w:p w14:paraId="38A0609D">
      <w:pPr>
        <w:numPr>
          <w:ilvl w:val="0"/>
          <w:numId w:val="2"/>
        </w:numPr>
        <w:spacing w:line="560" w:lineRule="exact"/>
        <w:ind w:firstLine="420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绩效评价方法</w:t>
      </w:r>
    </w:p>
    <w:p w14:paraId="750C62FB">
      <w:pPr>
        <w:numPr>
          <w:ilvl w:val="0"/>
          <w:numId w:val="0"/>
        </w:numPr>
        <w:spacing w:line="560" w:lineRule="exact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</w:pPr>
      <w:r>
        <w:rPr>
          <w:rFonts w:hint="eastAsia" w:eastAsia="仿宋_GB2312" w:cs="Times New Roman"/>
          <w:b w:val="0"/>
          <w:bCs w:val="0"/>
          <w:lang w:eastAsia="zh-CN"/>
        </w:rPr>
        <w:t xml:space="preserve">        </w:t>
      </w: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</w:p>
    <w:p w14:paraId="1CFDD2CA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1D08852D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（二）比较法。是指将实施情况与绩效目标、历史情况、不同部门和地区同类支出情况进行比较的方法。</w:t>
      </w:r>
    </w:p>
    <w:p w14:paraId="45FE4776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（三）因素分析法。是指综合分析影响绩效目标实现、实施效果的内外部因素的方法。</w:t>
      </w:r>
    </w:p>
    <w:p w14:paraId="2E67BBE3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sz w:val="32"/>
          <w:szCs w:val="32"/>
          <w:highlight w:val="none"/>
        </w:rPr>
        <w:t>（四）最低成本法。是指在绩效目标确定的前提下，成本最小者为优的方法。</w:t>
      </w:r>
    </w:p>
    <w:p w14:paraId="48B88406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kern w:val="2"/>
          <w:sz w:val="32"/>
          <w:szCs w:val="32"/>
          <w:lang w:val="en-US" w:eastAsia="zh-CN" w:bidi="ar-SA"/>
        </w:rPr>
        <w:t>4.评价标准</w:t>
      </w:r>
    </w:p>
    <w:p w14:paraId="26F48599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kern w:val="2"/>
          <w:sz w:val="32"/>
          <w:szCs w:val="32"/>
          <w:lang w:val="en-US" w:eastAsia="zh-CN" w:bidi="ar-SA"/>
        </w:rPr>
        <w:t>绩效评价标准通常包括计划标准、行业标准、历史标准等，用于对绩效指标完成情况进行比较、分析、评价。</w:t>
      </w:r>
    </w:p>
    <w:p w14:paraId="081DE81D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kern w:val="2"/>
          <w:sz w:val="32"/>
          <w:szCs w:val="32"/>
          <w:lang w:val="en-US" w:eastAsia="zh-CN" w:bidi="ar-SA"/>
        </w:rPr>
        <w:t>（1）计划标准。指以预先制定的目标、计划、预算、定额等作为评价标准。</w:t>
      </w:r>
    </w:p>
    <w:p w14:paraId="0B12617A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kern w:val="2"/>
          <w:sz w:val="32"/>
          <w:szCs w:val="32"/>
          <w:lang w:val="en-US" w:eastAsia="zh-CN" w:bidi="ar-SA"/>
        </w:rPr>
        <w:t>（2）行业标准。指参照国家公布的行业指标数据制定的评价标准。</w:t>
      </w:r>
    </w:p>
    <w:p w14:paraId="095BFD09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kern w:val="2"/>
          <w:sz w:val="32"/>
          <w:szCs w:val="32"/>
          <w:lang w:val="en-US" w:eastAsia="zh-CN" w:bidi="ar-SA"/>
        </w:rPr>
        <w:t>（3）历史标准。指参照历史数据制定的评价标准，为体现绩效改进的原则，在可实现的条件下应当确定相对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较高的评价标准。</w:t>
      </w:r>
    </w:p>
    <w:p w14:paraId="50551EB0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（4）财政部门和预算部门确认或认可的其他标准。</w:t>
      </w:r>
    </w:p>
    <w:p w14:paraId="46990857">
      <w:pPr>
        <w:pStyle w:val="10"/>
        <w:numPr>
          <w:ilvl w:val="0"/>
          <w:numId w:val="3"/>
        </w:numPr>
        <w:spacing w:before="0" w:after="0" w:line="560" w:lineRule="exact"/>
        <w:ind w:firstLine="711" w:firstLineChars="200"/>
        <w:jc w:val="both"/>
        <w:rPr>
          <w:rFonts w:hint="eastAsia" w:ascii="Times New Roman" w:hAnsi="Times New Roman" w:eastAsia="仿宋_GB2312" w:cs="Times New Roman"/>
          <w:b w:val="0"/>
          <w:bCs w:val="0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楷体" w:cs="Times New Roman"/>
          <w:color w:val="000000"/>
          <w:spacing w:val="17"/>
        </w:rPr>
        <w:t>绩效评价工作过程</w:t>
      </w:r>
    </w:p>
    <w:p w14:paraId="674F5E2A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color w:val="000000"/>
          <w:spacing w:val="17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color w:val="000000"/>
          <w:spacing w:val="17"/>
          <w:kern w:val="2"/>
          <w:sz w:val="32"/>
          <w:szCs w:val="32"/>
          <w:lang w:val="en-US" w:eastAsia="zh-CN" w:bidi="ar-SA"/>
        </w:rPr>
        <w:t>（1）前期准备与规划</w:t>
      </w:r>
    </w:p>
    <w:p w14:paraId="293EF91A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4651895C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（2）指标体系构建</w:t>
      </w:r>
    </w:p>
    <w:p w14:paraId="493D23C4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</w:p>
    <w:p w14:paraId="2079E53C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（3）数据收集与整理</w:t>
      </w:r>
    </w:p>
    <w:p w14:paraId="2CB09481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0C5AB7DC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（4）数据分析与评估</w:t>
      </w:r>
    </w:p>
    <w:p w14:paraId="3AFC4CB7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6E3785F5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（5）报告撰写与反馈</w:t>
      </w:r>
    </w:p>
    <w:p w14:paraId="0809DEA6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37652681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（6）后续跟踪与改进</w:t>
      </w:r>
    </w:p>
    <w:p w14:paraId="24D62ACE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2D2D4ABE">
      <w:pPr>
        <w:numPr>
          <w:ilvl w:val="0"/>
          <w:numId w:val="4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综合评价情况及评价结论（附相关评分表）</w:t>
      </w:r>
    </w:p>
    <w:p w14:paraId="35AA315B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评价情况</w:t>
      </w:r>
    </w:p>
    <w:p w14:paraId="343D406F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本项目的综合评价基于对项目各方面绩效的深入分析与评估。从项目目标的达成情况来看，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动物防疫补助资金项目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在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动物防疫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等方面表现出色，达到了预期的标准与要求。同时，项目也在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对动物健康和养殖产业方面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取得了显著的成效，如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促进养殖产业发展、预防人畜共患病传播、减少病死动物对环境的污染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等。</w:t>
      </w:r>
    </w:p>
    <w:p w14:paraId="6EF0E799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在项目管理方面，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托里县动物卫生监督所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通过有效的规划、组织与协调，项目得以顺利实施，并在预算与时间上保持了良好的控制。</w:t>
      </w:r>
    </w:p>
    <w:p w14:paraId="0D98BDA9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从项目效益的角度来看，本项目不仅实现了预期的社会效益方面产生了积极的影响。</w:t>
      </w:r>
    </w:p>
    <w:p w14:paraId="59CD0A3B">
      <w:pPr>
        <w:pStyle w:val="9"/>
        <w:widowControl/>
        <w:spacing w:beforeAutospacing="0" w:after="0" w:afterAutospacing="0" w:line="324" w:lineRule="atLeast"/>
        <w:ind w:left="0" w:right="0" w:firstLine="480"/>
        <w:jc w:val="both"/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综上所述，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动物防疫补助资金项目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在绩效评价中表现出色，达到了项目的预期目标，并在</w:t>
      </w:r>
      <w:r>
        <w:rPr>
          <w:rFonts w:hint="eastAsia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健康、环境、经济等</w:t>
      </w:r>
      <w:r>
        <w:rPr>
          <w:rFonts w:hint="default" w:ascii="Times New Roman" w:hAnsi="Times New Roman" w:eastAsia="仿宋_GB2312" w:cs="Times New Roman"/>
          <w:b w:val="0"/>
          <w:bCs w:val="0"/>
          <w:kern w:val="28"/>
          <w:sz w:val="32"/>
          <w:szCs w:val="32"/>
          <w:lang w:val="en-US" w:eastAsia="zh-CN" w:bidi="ar-SA"/>
        </w:rPr>
        <w:t>方面取得了显著的成效。</w:t>
      </w:r>
    </w:p>
    <w:p w14:paraId="70BDCAA9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lang w:val="en-US" w:eastAsia="zh-CN"/>
        </w:rPr>
      </w:pPr>
      <w:r>
        <w:rPr>
          <w:rFonts w:hint="default" w:ascii="Times New Roman" w:hAnsi="Times New Roman" w:eastAsia="楷体_GB2312" w:cs="Times New Roman"/>
          <w:lang w:eastAsia="zh-CN"/>
        </w:rPr>
        <w:t>（</w:t>
      </w:r>
      <w:r>
        <w:rPr>
          <w:rFonts w:hint="default" w:ascii="Times New Roman" w:hAnsi="Times New Roman" w:eastAsia="楷体_GB2312" w:cs="Times New Roman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lang w:eastAsia="zh-CN"/>
        </w:rPr>
        <w:t>）</w:t>
      </w:r>
      <w:r>
        <w:rPr>
          <w:rFonts w:hint="default" w:ascii="Times New Roman" w:hAnsi="Times New Roman" w:eastAsia="楷体_GB2312" w:cs="Times New Roman"/>
          <w:lang w:val="en-US" w:eastAsia="zh-CN"/>
        </w:rPr>
        <w:t>评价结论</w:t>
      </w:r>
    </w:p>
    <w:p w14:paraId="7D9245CA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96</w:t>
      </w:r>
      <w:r>
        <w:rPr>
          <w:rFonts w:hint="default" w:ascii="Times New Roman" w:hAnsi="Times New Roman" w:eastAsia="仿宋_GB2312" w:cs="Times New Roman"/>
          <w:b w:val="0"/>
          <w:bCs w:val="0"/>
        </w:rPr>
        <w:t>分，属于“优</w:t>
      </w:r>
      <w:r>
        <w:rPr>
          <w:rFonts w:hint="eastAsia" w:ascii="Times New Roman" w:hAnsi="Times New Roman" w:eastAsia="仿宋_GB2312" w:cs="Times New Roman"/>
          <w:b w:val="0"/>
          <w:bCs w:val="0"/>
          <w:lang w:eastAsia="zh-CN"/>
        </w:rPr>
        <w:t>”</w:t>
      </w:r>
      <w:r>
        <w:rPr>
          <w:rFonts w:hint="default" w:ascii="Times New Roman" w:hAnsi="Times New Roman" w:eastAsia="仿宋_GB2312" w:cs="Times New Roman"/>
          <w:b w:val="0"/>
          <w:bCs w:val="0"/>
        </w:rPr>
        <w:t>。其中，项目决策类指标权重为20分，得分为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b w:val="0"/>
          <w:bCs w:val="0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90</w:t>
      </w:r>
      <w:r>
        <w:rPr>
          <w:rFonts w:hint="default" w:ascii="Times New Roman" w:hAnsi="Times New Roman" w:eastAsia="仿宋_GB2312" w:cs="Times New Roman"/>
          <w:b w:val="0"/>
          <w:bCs w:val="0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38</w:t>
      </w:r>
      <w:r>
        <w:rPr>
          <w:rFonts w:hint="default" w:ascii="Times New Roman" w:hAnsi="Times New Roman" w:eastAsia="仿宋_GB2312" w:cs="Times New Roman"/>
          <w:b w:val="0"/>
          <w:bCs w:val="0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95</w:t>
      </w:r>
      <w:r>
        <w:rPr>
          <w:rFonts w:hint="default" w:ascii="Times New Roman" w:hAnsi="Times New Roman" w:eastAsia="仿宋_GB2312" w:cs="Times New Roman"/>
          <w:b w:val="0"/>
          <w:bCs w:val="0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</w:rPr>
        <w:t>%。具体打分情况详见：附件1综合评分表</w:t>
      </w:r>
      <w:r>
        <w:rPr>
          <w:rFonts w:hint="default" w:ascii="Times New Roman" w:hAnsi="Times New Roman" w:eastAsia="仿宋_GB2312" w:cs="Times New Roman"/>
          <w:b w:val="0"/>
          <w:bCs w:val="0"/>
          <w:lang w:eastAsia="zh-CN"/>
        </w:rPr>
        <w:t>。</w:t>
      </w:r>
    </w:p>
    <w:p w14:paraId="56013729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仿宋_GB2312" w:cs="Times New Roman"/>
          <w:sz w:val="21"/>
          <w:szCs w:val="21"/>
        </w:rPr>
      </w:pPr>
      <w:r>
        <w:rPr>
          <w:rFonts w:hint="default" w:ascii="Times New Roman" w:hAnsi="Times New Roman" w:eastAsia="仿宋_GB2312" w:cs="Times New Roman"/>
          <w:sz w:val="21"/>
          <w:szCs w:val="21"/>
        </w:rPr>
        <w:t>表1综合评分表</w:t>
      </w:r>
    </w:p>
    <w:tbl>
      <w:tblPr>
        <w:tblStyle w:val="13"/>
        <w:tblW w:w="87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7"/>
        <w:gridCol w:w="2023"/>
        <w:gridCol w:w="2023"/>
      </w:tblGrid>
      <w:tr w14:paraId="3858D7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08A860A1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一级指标</w:t>
            </w:r>
          </w:p>
        </w:tc>
        <w:tc>
          <w:tcPr>
            <w:tcW w:w="1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1B8035A9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权重分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11CA72A4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得分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2A7CAA1E"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得分率</w:t>
            </w:r>
          </w:p>
        </w:tc>
      </w:tr>
      <w:tr w14:paraId="3101C5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D8434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项目决策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162BEE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D16E6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38AE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1BA7CA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4CE0B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项目过程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E6111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6ED38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3D97AC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90%</w:t>
            </w:r>
          </w:p>
        </w:tc>
      </w:tr>
      <w:tr w14:paraId="39F60C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A5710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项目产出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709DAC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BCA02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490EE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95%</w:t>
            </w:r>
          </w:p>
        </w:tc>
      </w:tr>
      <w:tr w14:paraId="51F085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EA5637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项目效益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89D0D9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FEA50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3D593"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100%</w:t>
            </w:r>
          </w:p>
        </w:tc>
      </w:tr>
      <w:tr w14:paraId="4F96E7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62E9B0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</w:rPr>
              <w:t>合计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DDDEA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86B82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96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495C4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96%</w:t>
            </w:r>
          </w:p>
        </w:tc>
      </w:tr>
    </w:tbl>
    <w:p w14:paraId="38031862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四、绩效评价指标分析</w:t>
      </w:r>
    </w:p>
    <w:p w14:paraId="4E7C6E9A">
      <w:pPr>
        <w:pStyle w:val="10"/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（一）项目决策情况</w:t>
      </w:r>
    </w:p>
    <w:p w14:paraId="76BEDFE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项目决策类指标包括项目立项、绩效目标和资金投入三方面的内容，由6个三级指标构成，权重分值为20分，实际得分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%。</w:t>
      </w:r>
    </w:p>
    <w:p w14:paraId="0462F616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1.项目立项</w:t>
      </w:r>
    </w:p>
    <w:p w14:paraId="7B95FBD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（1）立项依据充分性</w:t>
      </w:r>
    </w:p>
    <w:p w14:paraId="7023F5E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272F071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（2）立项程序规范性</w:t>
      </w:r>
    </w:p>
    <w:p w14:paraId="75A1E49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项目申请、设立过程符合相关要求，严格按照审批流程准备符合要求的文件、材料；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根据决算依据编制工作计划和经费预算，经过与部门项目分管领导沟通、筛选确定经费预算计划，确定最终预算方案。项目的审批文件、材料符合相关要求，项目事前经过必要的可行性研究、专家论证、风险评估、绩效评估、集体决策，保障了程序的规范性。</w:t>
      </w:r>
    </w:p>
    <w:p w14:paraId="15B337C1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2.绩效目标</w:t>
      </w:r>
    </w:p>
    <w:p w14:paraId="672DE4F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（1）绩效目标合理性</w:t>
      </w:r>
    </w:p>
    <w:p w14:paraId="347C894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年初结合实际工作内容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/>
        </w:rPr>
        <w:t>，绩效目标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3412833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（2）绩效指标明确性</w:t>
      </w:r>
    </w:p>
    <w:p w14:paraId="3CB376E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14873ADA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3.资金投入</w:t>
      </w:r>
    </w:p>
    <w:p w14:paraId="71D10FD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（1）预算编制科学性</w:t>
      </w:r>
    </w:p>
    <w:p w14:paraId="55C0781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224B101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04F5433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（2）资金分配合理性</w:t>
      </w:r>
    </w:p>
    <w:p w14:paraId="68E4BFE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61422EC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7108AB5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4B103292">
      <w:pPr>
        <w:pStyle w:val="10"/>
        <w:numPr>
          <w:ilvl w:val="0"/>
          <w:numId w:val="5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" w:cs="Times New Roman"/>
        </w:rPr>
      </w:pPr>
      <w:r>
        <w:rPr>
          <w:rFonts w:hint="default" w:ascii="Times New Roman" w:hAnsi="Times New Roman" w:eastAsia="楷体" w:cs="Times New Roman"/>
        </w:rPr>
        <w:t>项目过程情况</w:t>
      </w:r>
    </w:p>
    <w:p w14:paraId="088C7C8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项目过程类指标包括资金管理和组织实施两方面的内容，由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5个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三级指标构成，权重分值为20分，实际得分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90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%。</w:t>
      </w:r>
    </w:p>
    <w:p w14:paraId="2FF7C4D7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1.资金管理</w:t>
      </w:r>
    </w:p>
    <w:p w14:paraId="4AB897F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（1）资金到位率</w:t>
      </w:r>
    </w:p>
    <w:p w14:paraId="4603E77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本项目总投资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5.1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万元，财政资金及时足额到位，到位率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%，预算资金按计划进度执行。</w:t>
      </w:r>
    </w:p>
    <w:p w14:paraId="55778CC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（2）预算执行率</w:t>
      </w:r>
    </w:p>
    <w:p w14:paraId="3BC3069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预算编制较为详细，项目资金支出总体能够按照预算执行，预算资金支出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5.1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万元，预算执行率为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%。</w:t>
      </w:r>
    </w:p>
    <w:p w14:paraId="62CBCA8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（3）资金使用合规性</w:t>
      </w:r>
    </w:p>
    <w:p w14:paraId="2045EB8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24444C1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4EED909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53D564ED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2.组织实施</w:t>
      </w:r>
    </w:p>
    <w:p w14:paraId="1B8CC0C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（1）管理制度健全性</w:t>
      </w:r>
    </w:p>
    <w:p w14:paraId="485A10C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3BEF12B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在制度设计上，我们注重了制度的科学性与可操作性，确保制度能够切实指导项目的执行与管理。</w:t>
      </w:r>
    </w:p>
    <w:p w14:paraId="44A08EA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0CD9AC5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6A6EE721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（2）制度执行有效性</w:t>
      </w:r>
    </w:p>
    <w:p w14:paraId="0B554E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本项目在执行过程中，管理制度得到了全面、有效的落实，为确保项目的顺利实施与目标实现提供了坚实的保障。项目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重视制度执行的重要性，通过明确责任分工、制定详细执行计划、加强监督考核等措施，确保了各项管理制度能够得到有效执行。</w:t>
      </w:r>
    </w:p>
    <w:p w14:paraId="5F191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2CFB7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综上所述，本项目的管理制度在执行过程中表现出了高度的有效性，既确保了项目的顺利进行，又实现了项目目标的有效达成。</w:t>
      </w:r>
    </w:p>
    <w:p w14:paraId="46F7050A">
      <w:pPr>
        <w:pStyle w:val="11"/>
        <w:numPr>
          <w:ilvl w:val="0"/>
          <w:numId w:val="5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项目产出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情况</w:t>
      </w:r>
    </w:p>
    <w:p w14:paraId="45AA72D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项目产出类指标包括产出数量、产出质量、产出时效、产出成本四方面的内容，由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个三级指标构成，权重分为40分，实际得分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38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分，得分率为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95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%。具体产出指标完成情况如下：</w:t>
      </w:r>
    </w:p>
    <w:p w14:paraId="74CF7E3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1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数量指标：</w:t>
      </w:r>
    </w:p>
    <w:p w14:paraId="5D529EB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jc w:val="left"/>
        <w:textAlignment w:val="auto"/>
        <w:rPr>
          <w:rFonts w:hint="eastAsia" w:ascii="仿宋_GB2312" w:eastAsia="仿宋_GB2312" w:cs="Times New Roman"/>
          <w:sz w:val="32"/>
          <w:szCs w:val="32"/>
          <w:highlight w:val="yellow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指标1：采购牛耳标数量</w:t>
      </w:r>
      <w:r>
        <w:rPr>
          <w:rFonts w:hint="eastAsia" w:ascii="仿宋_GB2312" w:eastAsia="仿宋_GB2312" w:cs="Times New Roman"/>
          <w:sz w:val="32"/>
          <w:szCs w:val="32"/>
          <w:highlight w:val="none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/>
        </w:rPr>
        <w:t>≥1.71万枚</w:t>
      </w:r>
      <w:r>
        <w:rPr>
          <w:rFonts w:hint="eastAsia" w:ascii="仿宋_GB2312" w:eastAsia="仿宋_GB2312" w:cs="Times New Roman"/>
          <w:sz w:val="32"/>
          <w:szCs w:val="32"/>
          <w:highlight w:val="none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实际完成值：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eastAsia="zh-CN"/>
        </w:rPr>
        <w:t>1.71万枚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%</w:t>
      </w:r>
      <w:r>
        <w:rPr>
          <w:rFonts w:hint="eastAsia" w:ascii="仿宋_GB2312" w:eastAsia="仿宋_GB2312" w:cs="Times New Roman"/>
          <w:sz w:val="32"/>
          <w:szCs w:val="32"/>
          <w:highlight w:val="none"/>
        </w:rPr>
        <w:t>，</w:t>
      </w:r>
      <w:r>
        <w:rPr>
          <w:rFonts w:hint="eastAsia" w:ascii="仿宋_GB2312" w:eastAsia="仿宋_GB2312" w:cs="Times New Roman"/>
          <w:sz w:val="32"/>
          <w:szCs w:val="32"/>
          <w:highlight w:val="none"/>
          <w:lang w:val="en-US" w:eastAsia="zh-CN"/>
        </w:rPr>
        <w:t>此项目无偏差。</w:t>
      </w:r>
    </w:p>
    <w:p w14:paraId="1C131D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yellow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：采购羊耳标数量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,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指标值：&gt;=5.81万枚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,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=3万枚，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52%，偏差原因：库存已有2023年度采购的耳标。</w:t>
      </w:r>
    </w:p>
    <w:p w14:paraId="3888A3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jc w:val="left"/>
        <w:textAlignment w:val="auto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：采购卡环数量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&gt;=1.92万枚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=1.92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万枚，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100%，此项目无偏差。</w:t>
      </w:r>
    </w:p>
    <w:p w14:paraId="408B77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jc w:val="left"/>
        <w:textAlignment w:val="auto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：采购动物检疫合格证（动物A）数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400本，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400本，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100%，此项目无偏差。</w:t>
      </w:r>
    </w:p>
    <w:p w14:paraId="068F410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jc w:val="left"/>
        <w:textAlignment w:val="auto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5：</w:t>
      </w:r>
      <w:r>
        <w:rPr>
          <w:rFonts w:hint="default" w:eastAsia="仿宋_GB2312" w:cs="Times New Roman"/>
          <w:sz w:val="32"/>
          <w:szCs w:val="32"/>
          <w:highlight w:val="none"/>
          <w:lang w:val="en-US" w:eastAsia="zh-CN"/>
        </w:rPr>
        <w:t>采购动物产品标签数量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指标值：&gt;=28.38万枚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实际完成值：&gt;=28.38万枚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100%，此项目无偏差。</w:t>
      </w:r>
    </w:p>
    <w:p w14:paraId="616EB5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jc w:val="left"/>
        <w:textAlignment w:val="auto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6：采购工作服数量，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指标值：&gt;=15套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实际完成值：=15套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100%，此项目无偏差。</w:t>
      </w:r>
    </w:p>
    <w:p w14:paraId="06D3D6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jc w:val="left"/>
        <w:textAlignment w:val="auto"/>
        <w:rPr>
          <w:rFonts w:hint="default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7：采购瘦肉精检测卡数量，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指标值：&gt;=42盒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实际完成值：=42盒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100%，此项目无偏差。</w:t>
      </w:r>
    </w:p>
    <w:p w14:paraId="555933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/>
        <w:textAlignment w:val="auto"/>
        <w:rPr>
          <w:rFonts w:hint="eastAsia" w:eastAsia="仿宋_GB2312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2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质量指标：</w:t>
      </w:r>
    </w:p>
    <w:p w14:paraId="555E90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yellow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跨省调入动物流通监管率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100%，此项目无偏差。</w:t>
      </w:r>
    </w:p>
    <w:p w14:paraId="5B3BC8F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yellow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3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时效指标：</w:t>
      </w:r>
    </w:p>
    <w:p w14:paraId="04CAA86E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yellow"/>
          <w:lang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1：项目完成时间，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2024年12月25日，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100%，此项目无偏差。</w:t>
      </w:r>
    </w:p>
    <w:p w14:paraId="2782E9C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instrText xml:space="preserve"> = 4 \* GB3 </w:instrTex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④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成本指标：</w:t>
      </w:r>
    </w:p>
    <w:p w14:paraId="46399A15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sz w:val="32"/>
          <w:szCs w:val="32"/>
          <w:highlight w:val="yellow"/>
          <w:lang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1：采购牛耳标金额，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指标值：&lt;=0.60万元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：=0.60万元，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100%，此项目无偏差。</w:t>
      </w:r>
    </w:p>
    <w:p w14:paraId="4EFEC8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jc w:val="left"/>
        <w:textAlignment w:val="auto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2：采购羊耳标金额，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指标值：&lt;=1.6万元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：=0.9万元，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56%，偏差原因：库存已有2023年度采购的耳标。</w:t>
      </w:r>
    </w:p>
    <w:p w14:paraId="34B5A742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3：采购卡环金额，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指标值：&lt;=0.50万元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=0.50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100%，此项目无偏差。</w:t>
      </w:r>
    </w:p>
    <w:p w14:paraId="4E119C47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4：动物检疫合格证（动物A）金额，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指标值：&lt;=0.20万元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=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0.20万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元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100%，此项目无偏差。</w:t>
      </w:r>
    </w:p>
    <w:p w14:paraId="76206CF4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eastAsia="仿宋_GB2312" w:cs="Times New Roman"/>
          <w:sz w:val="32"/>
          <w:szCs w:val="32"/>
          <w:highlight w:val="none"/>
          <w:lang w:val="en-US" w:eastAsia="zh-CN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5</w:t>
      </w:r>
      <w:r>
        <w:rPr>
          <w:rFonts w:hint="default" w:eastAsia="仿宋_GB2312" w:cs="Times New Roman"/>
          <w:sz w:val="32"/>
          <w:szCs w:val="32"/>
          <w:highlight w:val="none"/>
          <w:lang w:val="en-US" w:eastAsia="zh-CN"/>
        </w:rPr>
        <w:t>：标签（大，小）金额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指标值：&lt;=0.90万元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：=0.90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万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元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100%，此项目无偏差。</w:t>
      </w:r>
    </w:p>
    <w:p w14:paraId="46A99A13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eastAsia="仿宋_GB2312" w:cs="Times New Roman"/>
          <w:sz w:val="32"/>
          <w:szCs w:val="32"/>
          <w:highlight w:val="none"/>
          <w:lang w:val="en-US" w:eastAsia="zh-CN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eastAsia="仿宋_GB2312" w:cs="Times New Roman"/>
          <w:sz w:val="32"/>
          <w:szCs w:val="32"/>
          <w:highlight w:val="none"/>
          <w:lang w:val="en-US" w:eastAsia="zh-CN"/>
        </w:rPr>
        <w:t>：采购冬季工作服金额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指标值：&lt;=0.15万元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：=0.15万元，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100%，此项目无偏差。</w:t>
      </w:r>
    </w:p>
    <w:p w14:paraId="15F238A1">
      <w:pPr>
        <w:shd w:val="clear" w:color="auto" w:fill="auto"/>
        <w:spacing w:line="600" w:lineRule="exact"/>
        <w:ind w:firstLine="640" w:firstLineChars="200"/>
        <w:outlineLvl w:val="0"/>
        <w:rPr>
          <w:rFonts w:hint="default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eastAsia="仿宋_GB2312" w:cs="Times New Roman"/>
          <w:sz w:val="32"/>
          <w:szCs w:val="32"/>
          <w:highlight w:val="none"/>
          <w:lang w:val="en-US" w:eastAsia="zh-CN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7</w:t>
      </w:r>
      <w:r>
        <w:rPr>
          <w:rFonts w:hint="default" w:eastAsia="仿宋_GB2312" w:cs="Times New Roman"/>
          <w:sz w:val="32"/>
          <w:szCs w:val="32"/>
          <w:highlight w:val="none"/>
          <w:lang w:val="en-US" w:eastAsia="zh-CN"/>
        </w:rPr>
        <w:t>：采购瘦肉精检测卡金额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指标值：&lt;=1.15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：=1.15，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100%，此项目无偏差。</w:t>
      </w:r>
    </w:p>
    <w:p w14:paraId="4099B95D">
      <w:pPr>
        <w:pStyle w:val="11"/>
        <w:numPr>
          <w:ilvl w:val="0"/>
          <w:numId w:val="5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highlight w:val="none"/>
          <w:lang w:val="en-US" w:eastAsia="zh-CN"/>
        </w:rPr>
        <w:t>项目效益情况</w:t>
      </w:r>
    </w:p>
    <w:p w14:paraId="40296BE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FF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1.实施效益</w:t>
      </w:r>
    </w:p>
    <w:p w14:paraId="763AC79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社会效益指标：</w:t>
      </w:r>
    </w:p>
    <w:p w14:paraId="08658944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sz w:val="32"/>
          <w:szCs w:val="32"/>
          <w:highlight w:val="yellow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指标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1：提高动物及动物产品质量，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指标值：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有效提高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实际完成值</w:t>
      </w:r>
      <w:r>
        <w:rPr>
          <w:rFonts w:hint="eastAsia" w:eastAsia="仿宋_GB2312" w:cs="Times New Roman"/>
          <w:sz w:val="32"/>
          <w:szCs w:val="32"/>
          <w:highlight w:val="none"/>
          <w:lang w:eastAsia="zh-CN"/>
        </w:rPr>
        <w:t>：有效提高，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100%，此项目无偏差。</w:t>
      </w:r>
    </w:p>
    <w:p w14:paraId="0D8A05E3">
      <w:pPr>
        <w:numPr>
          <w:ilvl w:val="0"/>
          <w:numId w:val="0"/>
        </w:num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满意度</w:t>
      </w:r>
    </w:p>
    <w:p w14:paraId="40975D84">
      <w:pPr>
        <w:pStyle w:val="3"/>
        <w:numPr>
          <w:ilvl w:val="0"/>
          <w:numId w:val="0"/>
        </w:numPr>
        <w:rPr>
          <w:rFonts w:hint="default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 w:val="0"/>
          <w:bCs w:val="0"/>
          <w:kern w:val="2"/>
          <w:sz w:val="32"/>
          <w:szCs w:val="32"/>
          <w:highlight w:val="none"/>
          <w:lang w:val="en-US" w:eastAsia="zh-CN" w:bidi="ar-SA"/>
        </w:rPr>
        <w:t>指标一：群众满意度，指标值：95%，实际完成值：95%，指标完成率100%。</w:t>
      </w:r>
    </w:p>
    <w:p w14:paraId="6624BE46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sz w:val="32"/>
          <w:szCs w:val="32"/>
          <w:lang w:val="en-US"/>
        </w:rPr>
        <w:t>预算执行进度与绩效指标总体完成率偏差</w:t>
      </w:r>
    </w:p>
    <w:p w14:paraId="2A30ACA1">
      <w:pPr>
        <w:pStyle w:val="21"/>
        <w:spacing w:line="560" w:lineRule="exact"/>
        <w:ind w:firstLine="640"/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托里县动物防疫补助</w:t>
      </w: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项目年初预算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5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.1</w:t>
      </w: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万元，全年预算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5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.1</w:t>
      </w: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万元，实际支出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5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.1</w:t>
      </w: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万元，预算执行率为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%，项目绩效指标总体完成率为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%，</w:t>
      </w: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bidi="ar-SA"/>
        </w:rPr>
        <w:t>总体</w:t>
      </w: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偏差率为</w:t>
      </w:r>
      <w:r>
        <w:rPr>
          <w:rFonts w:hint="eastAsia" w:ascii="仿宋_GB2312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</w:t>
      </w:r>
      <w:r>
        <w:rPr>
          <w:rFonts w:hint="default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%</w:t>
      </w:r>
      <w:r>
        <w:rPr>
          <w:rFonts w:hint="eastAsia" w:ascii="仿宋_GB2312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3923C80B">
      <w:pPr>
        <w:spacing w:line="560" w:lineRule="exact"/>
        <w:ind w:firstLine="640" w:firstLineChars="200"/>
        <w:rPr>
          <w:rStyle w:val="20"/>
          <w:rFonts w:hint="default" w:ascii="Times New Roman" w:hAnsi="Times New Roman" w:cs="Times New Roman"/>
          <w:color w:val="auto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五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主要经验及做法、存在的问题及原因分析</w:t>
      </w:r>
    </w:p>
    <w:p w14:paraId="3F50A0F1">
      <w:pPr>
        <w:spacing w:line="560" w:lineRule="exact"/>
        <w:ind w:firstLine="627" w:firstLineChars="200"/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</w:pPr>
      <w:r>
        <w:rPr>
          <w:rFonts w:hint="default" w:ascii="Times New Roman" w:hAnsi="Times New Roman" w:eastAsia="楷体" w:cs="Times New Roman"/>
          <w:b/>
          <w:spacing w:val="-4"/>
          <w:sz w:val="32"/>
          <w:szCs w:val="32"/>
        </w:rPr>
        <w:t>（一）主要经验及做法</w:t>
      </w:r>
    </w:p>
    <w:p w14:paraId="3AC93DFA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13068846">
      <w:pPr>
        <w:pStyle w:val="10"/>
        <w:spacing w:before="0" w:after="0"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kern w:val="2"/>
        </w:rPr>
      </w:pP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严格坚持先做事、后验收、再拨付的原则，</w:t>
      </w:r>
      <w:r>
        <w:rPr>
          <w:rFonts w:hint="eastAsia" w:ascii="Times New Roman" w:hAnsi="Times New Roman" w:eastAsia="仿宋_GB2312" w:cs="Times New Roman"/>
          <w:b w:val="0"/>
          <w:bCs w:val="0"/>
          <w:kern w:val="2"/>
          <w:lang w:eastAsia="zh-CN"/>
        </w:rPr>
        <w:t>杜绝</w:t>
      </w:r>
      <w:r>
        <w:rPr>
          <w:rFonts w:hint="default" w:ascii="Times New Roman" w:hAnsi="Times New Roman" w:eastAsia="仿宋_GB2312" w:cs="Times New Roman"/>
          <w:b w:val="0"/>
          <w:bCs w:val="0"/>
          <w:kern w:val="2"/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7A7F8398">
      <w:pPr>
        <w:keepNext/>
        <w:keepLines/>
        <w:numPr>
          <w:ilvl w:val="0"/>
          <w:numId w:val="6"/>
        </w:num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sz w:val="32"/>
          <w:szCs w:val="32"/>
        </w:rPr>
        <w:t>存在的问题及原因分析</w:t>
      </w:r>
    </w:p>
    <w:p w14:paraId="03DA6EC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</w:p>
    <w:p w14:paraId="1CE6844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2.因轮岗、调动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因素使我单位绩效工作人员流动频繁，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造成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工作衔接不到位的情况。</w:t>
      </w:r>
    </w:p>
    <w:p w14:paraId="4487FC43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有关建议</w:t>
      </w:r>
    </w:p>
    <w:p w14:paraId="6DC183EF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1.多进行有关绩效管理工作方面的培训。积极组织第三方开展绩效管理工作培训，进一步夯实业务基础，提高我单位绩效人员水平。</w:t>
      </w:r>
    </w:p>
    <w:p w14:paraId="552BED0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2.专门设定对绩效工作人员定职、定岗、定责等相关制度措施，进一步提升我单位绩效管理工作业务水平，扎实做好绩效管理工作。</w:t>
      </w:r>
    </w:p>
    <w:p w14:paraId="4052BC7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</w:p>
    <w:p w14:paraId="36E227B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cs="Times New Roman"/>
          <w:sz w:val="22"/>
          <w:szCs w:val="28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default" w:ascii="Times New Roman" w:hAnsi="Times New Roman" w:eastAsia="仿宋_GB2312" w:cs="Times New Roman"/>
          <w:sz w:val="36"/>
          <w:szCs w:val="32"/>
        </w:rPr>
        <w:t>。</w:t>
      </w:r>
    </w:p>
    <w:p w14:paraId="370690B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5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 w14:paraId="7721A1FE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eastAsia="黑体" w:cs="Times New Roman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sz w:val="32"/>
          <w:szCs w:val="32"/>
        </w:rPr>
        <w:t>其他需要说</w:t>
      </w:r>
      <w:bookmarkStart w:id="1" w:name="page8"/>
      <w:bookmarkEnd w:id="1"/>
      <w:r>
        <w:rPr>
          <w:rFonts w:hint="default" w:ascii="Times New Roman" w:hAnsi="Times New Roman" w:eastAsia="黑体" w:cs="Times New Roman"/>
          <w:sz w:val="32"/>
          <w:szCs w:val="32"/>
        </w:rPr>
        <w:t>明的问题</w:t>
      </w:r>
    </w:p>
    <w:p w14:paraId="1347F74B">
      <w:pPr>
        <w:pStyle w:val="12"/>
        <w:spacing w:after="0" w:line="560" w:lineRule="exact"/>
        <w:ind w:left="0" w:leftChars="0" w:firstLine="64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本项目无其他需说明的问题。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7662184-200C-459A-9F36-7F8B8889499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EB8714E-F322-417A-9D29-F9917F79A369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4AEA21F-F416-4255-AA91-25BCCDFCF5D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C53A7679-407C-4C42-8C9A-F76DE7924A2A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E7AFA8FB-007D-4384-8BF3-22DF31194071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9F806A9E-22B1-4945-A1C2-CF8DE06DF8C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0C759E17-4D9A-4CE9-BE80-B4DC4822E66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 w14:paraId="11433B12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60FDEDE0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F205925"/>
    <w:multiLevelType w:val="singleLevel"/>
    <w:tmpl w:val="BF20592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CF092B84"/>
    <w:multiLevelType w:val="singleLevel"/>
    <w:tmpl w:val="CF092B84"/>
    <w:lvl w:ilvl="0" w:tentative="0">
      <w:start w:val="3"/>
      <w:numFmt w:val="decimal"/>
      <w:lvlText w:val="%1."/>
      <w:lvlJc w:val="left"/>
    </w:lvl>
  </w:abstractNum>
  <w:abstractNum w:abstractNumId="3">
    <w:nsid w:val="0053208E"/>
    <w:multiLevelType w:val="singleLevel"/>
    <w:tmpl w:val="0053208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3D62ECE"/>
    <w:multiLevelType w:val="singleLevel"/>
    <w:tmpl w:val="03D62EC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59ADCABA"/>
    <w:multiLevelType w:val="singleLevel"/>
    <w:tmpl w:val="59ADCABA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zYTY1ODhmZjRiY2MxNDhlNzhkN2RkNzk0ZmMyNjIifQ=="/>
  </w:docVars>
  <w:rsids>
    <w:rsidRoot w:val="00000000"/>
    <w:rsid w:val="19F644D9"/>
    <w:rsid w:val="7D6D07D8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ind w:firstLine="964"/>
      <w:outlineLvl w:val="1"/>
    </w:pPr>
    <w:rPr>
      <w:rFonts w:ascii="Arial" w:hAnsi="Arial" w:eastAsia="楷体"/>
      <w:b/>
      <w:sz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character" w:default="1" w:styleId="15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6">
    <w:name w:val="Balloon Text"/>
    <w:basedOn w:val="1"/>
    <w:link w:val="22"/>
    <w:qFormat/>
    <w:uiPriority w:val="0"/>
    <w:rPr>
      <w:sz w:val="18"/>
      <w:szCs w:val="18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8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10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1">
    <w:name w:val="Body Text First Indent"/>
    <w:basedOn w:val="4"/>
    <w:qFormat/>
    <w:uiPriority w:val="0"/>
    <w:pPr>
      <w:spacing w:after="0"/>
      <w:ind w:firstLine="200" w:firstLineChars="200"/>
    </w:pPr>
  </w:style>
  <w:style w:type="paragraph" w:styleId="12">
    <w:name w:val="Body Text First Indent 2"/>
    <w:basedOn w:val="5"/>
    <w:qFormat/>
    <w:uiPriority w:val="0"/>
    <w:pPr>
      <w:ind w:firstLine="420" w:firstLineChars="200"/>
    </w:pPr>
  </w:style>
  <w:style w:type="table" w:styleId="14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6">
    <w:name w:val="Strong"/>
    <w:basedOn w:val="15"/>
    <w:qFormat/>
    <w:uiPriority w:val="0"/>
    <w:rPr>
      <w:b/>
      <w:bCs/>
    </w:rPr>
  </w:style>
  <w:style w:type="paragraph" w:customStyle="1" w:styleId="17">
    <w:name w:val="Comment Subject"/>
    <w:basedOn w:val="18"/>
    <w:next w:val="18"/>
    <w:link w:val="25"/>
    <w:qFormat/>
    <w:uiPriority w:val="0"/>
    <w:rPr>
      <w:b/>
      <w:bCs/>
    </w:rPr>
  </w:style>
  <w:style w:type="paragraph" w:customStyle="1" w:styleId="18">
    <w:name w:val="Comment Text"/>
    <w:basedOn w:val="1"/>
    <w:link w:val="24"/>
    <w:qFormat/>
    <w:uiPriority w:val="0"/>
    <w:pPr>
      <w:jc w:val="left"/>
    </w:pPr>
  </w:style>
  <w:style w:type="character" w:customStyle="1" w:styleId="19">
    <w:name w:val="Comment Reference"/>
    <w:basedOn w:val="15"/>
    <w:qFormat/>
    <w:uiPriority w:val="0"/>
    <w:rPr>
      <w:sz w:val="21"/>
      <w:szCs w:val="21"/>
    </w:rPr>
  </w:style>
  <w:style w:type="character" w:customStyle="1" w:styleId="20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21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2">
    <w:name w:val="批注框文本 字符"/>
    <w:basedOn w:val="15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3">
    <w:name w:val="页眉 字符"/>
    <w:basedOn w:val="15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4">
    <w:name w:val="批注文字 字符"/>
    <w:basedOn w:val="15"/>
    <w:link w:val="18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5">
    <w:name w:val="批注主题 字符"/>
    <w:basedOn w:val="24"/>
    <w:link w:val="17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customStyle="1" w:styleId="26">
    <w:name w:val="_Style 1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E3E869F084E749F38A78AF2E217AC6E2_13</vt:lpwstr>
  </property>
  <property fmtid="{D5CDD505-2E9C-101B-9397-08002B2CF9AE}" pid="4" name="KSOTemplateDocerSaveRecord">
    <vt:lpwstr>eyJoZGlkIjoiMTEzZDg0OTg2OTYwYmZkMWI0YjdmNGYzNTdiNDg3YTAifQ==</vt:lpwstr>
  </property>
</Properties>
</file>

<file path=customXml/itemProps1.xml><?xml version="1.0" encoding="utf-8"?>
<ds:datastoreItem xmlns:ds="http://schemas.openxmlformats.org/officeDocument/2006/customXml" ds:itemID="{794de054-a7ed-4eb2-839e-fa7be0bb17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23</Pages>
  <Words>6829</Words>
  <Characters>7068</Characters>
  <Lines>58</Lines>
  <Paragraphs>16</Paragraphs>
  <TotalTime>0</TotalTime>
  <ScaleCrop>false</ScaleCrop>
  <LinksUpToDate>false</LinksUpToDate>
  <CharactersWithSpaces>7078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2023-03-08T21:13:00Z</dcterms:created>
  <dc:creator>审核人</dc:creator>
  <cp:lastModifiedBy>雨。</cp:lastModifiedBy>
  <dcterms:modified xsi:type="dcterms:W3CDTF">2025-10-31T08:19:56Z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E3E869F084E749F38A78AF2E217AC6E2_13</vt:lpwstr>
  </property>
  <property fmtid="{D5CDD505-2E9C-101B-9397-08002B2CF9AE}" pid="4" name="KSOTemplateDocerSaveRecord">
    <vt:lpwstr>eyJoZGlkIjoiMzEwNjkzMWMxZWMzNzU0NmUyNzQ2NGY3YzlmZjBhZDUiLCJ1c2VySWQiOiI0OTMxMTE3MjUifQ==</vt:lpwstr>
  </property>
</Properties>
</file>