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A20325"/>
    <w:p w14:paraId="0FA40B2A">
      <w:pPr>
        <w:spacing w:line="540" w:lineRule="exact"/>
        <w:jc w:val="center"/>
        <w:rPr>
          <w:rFonts w:eastAsia="华文中宋"/>
          <w:b/>
          <w:kern w:val="0"/>
          <w:sz w:val="52"/>
          <w:szCs w:val="52"/>
        </w:rPr>
      </w:pPr>
    </w:p>
    <w:p w14:paraId="7FB378ED">
      <w:pPr>
        <w:spacing w:line="540" w:lineRule="exact"/>
        <w:jc w:val="center"/>
        <w:rPr>
          <w:rFonts w:eastAsia="方正小标宋_GBK"/>
          <w:kern w:val="0"/>
          <w:sz w:val="48"/>
          <w:szCs w:val="48"/>
        </w:rPr>
      </w:pPr>
      <w:r>
        <w:rPr>
          <w:rFonts w:hint="eastAsia" w:eastAsia="方正小标宋_GBK"/>
          <w:kern w:val="0"/>
          <w:sz w:val="48"/>
          <w:szCs w:val="48"/>
        </w:rPr>
        <w:t>2024年政法委赴辽培训费</w:t>
      </w:r>
      <w:r>
        <w:rPr>
          <w:rFonts w:eastAsia="方正小标宋_GBK"/>
          <w:kern w:val="0"/>
          <w:sz w:val="48"/>
          <w:szCs w:val="48"/>
        </w:rPr>
        <w:t>项目支出绩效评价报告</w:t>
      </w:r>
    </w:p>
    <w:p w14:paraId="22DB1DA3">
      <w:pPr>
        <w:spacing w:line="540" w:lineRule="exact"/>
        <w:jc w:val="center"/>
        <w:rPr>
          <w:rFonts w:eastAsia="华文中宋"/>
          <w:b/>
          <w:kern w:val="0"/>
          <w:sz w:val="52"/>
          <w:szCs w:val="52"/>
        </w:rPr>
      </w:pPr>
    </w:p>
    <w:p w14:paraId="04E3449D">
      <w:pPr>
        <w:spacing w:line="540" w:lineRule="exact"/>
        <w:jc w:val="center"/>
        <w:rPr>
          <w:rFonts w:eastAsia="仿宋_GB2312"/>
          <w:kern w:val="0"/>
          <w:sz w:val="36"/>
          <w:szCs w:val="36"/>
        </w:rPr>
      </w:pPr>
      <w:r>
        <w:rPr>
          <w:rFonts w:eastAsia="仿宋_GB2312"/>
          <w:kern w:val="0"/>
          <w:sz w:val="36"/>
          <w:szCs w:val="36"/>
        </w:rPr>
        <w:t>（2024年度）</w:t>
      </w:r>
    </w:p>
    <w:p w14:paraId="47150E77">
      <w:pPr>
        <w:spacing w:line="540" w:lineRule="exact"/>
        <w:jc w:val="center"/>
        <w:rPr>
          <w:rFonts w:eastAsia="仿宋_GB2312"/>
          <w:kern w:val="0"/>
          <w:sz w:val="30"/>
          <w:szCs w:val="30"/>
        </w:rPr>
      </w:pPr>
    </w:p>
    <w:p w14:paraId="342C8690">
      <w:pPr>
        <w:spacing w:line="540" w:lineRule="exact"/>
        <w:jc w:val="center"/>
        <w:rPr>
          <w:rFonts w:eastAsia="仿宋_GB2312"/>
          <w:kern w:val="0"/>
          <w:sz w:val="30"/>
          <w:szCs w:val="30"/>
        </w:rPr>
      </w:pPr>
    </w:p>
    <w:p w14:paraId="05B0BB0F">
      <w:pPr>
        <w:pStyle w:val="6"/>
        <w:rPr>
          <w:rFonts w:ascii="Times New Roman" w:hAnsi="Times New Roman"/>
        </w:rPr>
      </w:pPr>
    </w:p>
    <w:p w14:paraId="403FF25F">
      <w:pPr>
        <w:spacing w:line="540" w:lineRule="exact"/>
        <w:jc w:val="center"/>
        <w:rPr>
          <w:rFonts w:eastAsia="仿宋_GB2312"/>
          <w:kern w:val="0"/>
          <w:sz w:val="30"/>
          <w:szCs w:val="30"/>
        </w:rPr>
      </w:pPr>
    </w:p>
    <w:p w14:paraId="744BA467">
      <w:pPr>
        <w:spacing w:line="540" w:lineRule="exact"/>
        <w:rPr>
          <w:rFonts w:eastAsia="仿宋_GB2312"/>
          <w:kern w:val="0"/>
          <w:sz w:val="30"/>
          <w:szCs w:val="30"/>
        </w:rPr>
      </w:pPr>
    </w:p>
    <w:p w14:paraId="09762A7C">
      <w:pPr>
        <w:spacing w:line="700" w:lineRule="exact"/>
        <w:ind w:firstLine="720" w:firstLineChars="200"/>
        <w:jc w:val="left"/>
        <w:rPr>
          <w:rFonts w:hint="eastAsia" w:eastAsia="仿宋_GB2312"/>
          <w:kern w:val="0"/>
          <w:sz w:val="36"/>
          <w:szCs w:val="36"/>
        </w:rPr>
      </w:pPr>
      <w:r>
        <w:rPr>
          <w:rFonts w:eastAsia="仿宋_GB2312"/>
          <w:kern w:val="0"/>
          <w:sz w:val="36"/>
          <w:szCs w:val="36"/>
        </w:rPr>
        <w:t>项目名称：</w:t>
      </w:r>
      <w:r>
        <w:rPr>
          <w:rFonts w:hint="eastAsia" w:eastAsia="仿宋_GB2312"/>
          <w:kern w:val="0"/>
          <w:sz w:val="36"/>
          <w:szCs w:val="36"/>
        </w:rPr>
        <w:t>2024年政法委赴辽培训费项目</w:t>
      </w:r>
    </w:p>
    <w:p w14:paraId="7316FF9B">
      <w:pPr>
        <w:spacing w:line="700" w:lineRule="exact"/>
        <w:ind w:firstLine="720" w:firstLineChars="2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中共托里县委政法委员会</w:t>
      </w:r>
    </w:p>
    <w:p w14:paraId="703EFFD3">
      <w:pPr>
        <w:spacing w:line="700" w:lineRule="exact"/>
        <w:ind w:firstLine="720" w:firstLineChars="2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中共托里县委政法委员会</w:t>
      </w:r>
    </w:p>
    <w:p w14:paraId="4C84B712">
      <w:pPr>
        <w:spacing w:line="700" w:lineRule="exact"/>
        <w:ind w:firstLine="720" w:firstLineChars="2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周磊</w:t>
      </w:r>
    </w:p>
    <w:p w14:paraId="20F904CE">
      <w:pPr>
        <w:spacing w:line="700" w:lineRule="exact"/>
        <w:ind w:firstLine="720" w:firstLineChars="200"/>
        <w:jc w:val="left"/>
        <w:rPr>
          <w:rFonts w:eastAsia="黑体"/>
          <w:bCs/>
          <w:sz w:val="32"/>
          <w:szCs w:val="32"/>
        </w:rPr>
        <w:sectPr>
          <w:pgSz w:w="11906" w:h="16838"/>
          <w:pgMar w:top="1440" w:right="1558" w:bottom="1440" w:left="1800" w:header="851" w:footer="992" w:gutter="0"/>
          <w:cols w:space="425" w:num="1"/>
          <w:docGrid w:type="lines" w:linePitch="312" w:charSpace="0"/>
        </w:sect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3</w:t>
      </w:r>
      <w:r>
        <w:rPr>
          <w:rFonts w:eastAsia="仿宋_GB2312"/>
          <w:kern w:val="0"/>
          <w:sz w:val="36"/>
          <w:szCs w:val="36"/>
        </w:rPr>
        <w:t>月</w:t>
      </w:r>
      <w:r>
        <w:rPr>
          <w:rFonts w:hint="eastAsia" w:eastAsia="仿宋_GB2312"/>
          <w:kern w:val="0"/>
          <w:sz w:val="36"/>
          <w:szCs w:val="36"/>
        </w:rPr>
        <w:t>27</w:t>
      </w:r>
      <w:r>
        <w:rPr>
          <w:rFonts w:eastAsia="仿宋_GB2312"/>
          <w:kern w:val="0"/>
          <w:sz w:val="36"/>
          <w:szCs w:val="36"/>
        </w:rPr>
        <w:t>日</w:t>
      </w:r>
    </w:p>
    <w:p w14:paraId="61D2F71C">
      <w:pPr>
        <w:spacing w:line="560" w:lineRule="exact"/>
        <w:ind w:right="4270" w:rightChars="1941"/>
        <w:rPr>
          <w:rFonts w:eastAsia="黑体"/>
          <w:bCs/>
          <w:sz w:val="32"/>
          <w:szCs w:val="32"/>
        </w:rPr>
      </w:pPr>
      <w:r>
        <w:rPr>
          <w:rFonts w:eastAsia="黑体"/>
          <w:bCs/>
          <w:sz w:val="32"/>
          <w:szCs w:val="32"/>
        </w:rPr>
        <w:t>一、基本情况</w:t>
      </w:r>
    </w:p>
    <w:p w14:paraId="70D47FFC">
      <w:pPr>
        <w:spacing w:line="560" w:lineRule="exact"/>
        <w:ind w:firstLine="643" w:firstLineChars="200"/>
        <w:rPr>
          <w:rFonts w:eastAsia="楷体_GB2312"/>
          <w:b/>
          <w:bCs/>
          <w:sz w:val="32"/>
          <w:szCs w:val="32"/>
        </w:rPr>
      </w:pPr>
      <w:r>
        <w:rPr>
          <w:rFonts w:eastAsia="楷体_GB2312"/>
          <w:b/>
          <w:bCs/>
          <w:sz w:val="32"/>
          <w:szCs w:val="32"/>
        </w:rPr>
        <w:t>（一）项目概况</w:t>
      </w:r>
    </w:p>
    <w:p w14:paraId="17D2916B">
      <w:pPr>
        <w:spacing w:line="560" w:lineRule="exact"/>
        <w:ind w:firstLine="643" w:firstLineChars="200"/>
        <w:rPr>
          <w:rFonts w:eastAsia="仿宋_GB2312"/>
          <w:b/>
          <w:bCs/>
          <w:sz w:val="32"/>
          <w:szCs w:val="32"/>
        </w:rPr>
      </w:pPr>
      <w:r>
        <w:rPr>
          <w:rFonts w:eastAsia="仿宋_GB2312"/>
          <w:b/>
          <w:bCs/>
          <w:sz w:val="32"/>
          <w:szCs w:val="32"/>
        </w:rPr>
        <w:t>1.项目背景</w:t>
      </w:r>
    </w:p>
    <w:p w14:paraId="45BF2632">
      <w:pPr>
        <w:pStyle w:val="6"/>
        <w:spacing w:before="0" w:after="0" w:line="560" w:lineRule="exact"/>
        <w:ind w:firstLine="640" w:firstLineChars="200"/>
        <w:jc w:val="both"/>
        <w:rPr>
          <w:rFonts w:ascii="仿宋_GB2312" w:hAnsi="仿宋_GB2312" w:eastAsia="仿宋_GB2312" w:cs="仿宋_GB2312"/>
          <w:b w:val="0"/>
          <w:bCs w:val="0"/>
          <w:kern w:val="0"/>
        </w:rPr>
      </w:pPr>
      <w:r>
        <w:rPr>
          <w:rFonts w:ascii="仿宋_GB2312" w:hAnsi="仿宋_GB2312" w:eastAsia="仿宋_GB2312" w:cs="仿宋_GB2312"/>
          <w:b w:val="0"/>
          <w:bCs w:val="0"/>
          <w:kern w:val="0"/>
        </w:rPr>
        <w:t>中央政法委围绕平安建设、法治建设、社会治理现代化等出台一系列政策文件与战略部署，如推进市域社会治理现代化试点、深化政法领域改革等。赴辽培训可通过实地学习、专题研讨等方式，帮助政法干部深入理解政策内涵，把握工作重点与方向，确保政策在地方精准落地。</w:t>
      </w:r>
    </w:p>
    <w:p w14:paraId="2DE2FAB2">
      <w:pPr>
        <w:pStyle w:val="6"/>
        <w:spacing w:before="0" w:after="0" w:line="560" w:lineRule="exact"/>
        <w:ind w:firstLine="640" w:firstLineChars="200"/>
        <w:jc w:val="both"/>
        <w:rPr>
          <w:rFonts w:ascii="仿宋_GB2312" w:hAnsi="仿宋_GB2312" w:eastAsia="仿宋_GB2312" w:cs="仿宋_GB2312"/>
          <w:b w:val="0"/>
          <w:bCs w:val="0"/>
          <w:kern w:val="0"/>
        </w:rPr>
      </w:pPr>
      <w:r>
        <w:rPr>
          <w:rFonts w:ascii="仿宋_GB2312" w:hAnsi="仿宋_GB2312" w:eastAsia="仿宋_GB2312" w:cs="仿宋_GB2312"/>
          <w:b w:val="0"/>
          <w:bCs w:val="0"/>
          <w:kern w:val="0"/>
        </w:rPr>
        <w:t xml:space="preserve"> 随着社会形势变化，政法工作面临新型违法犯罪（如网络犯罪、金融诈骗）、复杂社会矛盾等挑战。辽宁在社会治安防控体系建设、矛盾纠纷多元化解、智慧政法建设等方面有实践经验。通过培训，政法干部可学习先进工作方法与技术手段，如大数据在政法工作中的应用、基层矛盾纠纷排查化解机制，提升应对复杂问题的能力。辽宁作为东北地区重要省份，在政法工作中有独特探索与创新。如沈阳等地在优化法治化营商环境、加强边境地区治安管理等方面成效显著。其他地区政法委干部赴辽培训，能促进不同区域政法工作经验交流，实现资源共享、优势互补，拓宽工作思路与视野。</w:t>
      </w:r>
    </w:p>
    <w:p w14:paraId="3492A006">
      <w:pPr>
        <w:pStyle w:val="6"/>
        <w:spacing w:before="0" w:after="0" w:line="560" w:lineRule="exact"/>
        <w:ind w:firstLine="640" w:firstLineChars="200"/>
        <w:jc w:val="both"/>
        <w:rPr>
          <w:rFonts w:ascii="仿宋_GB2312" w:hAnsi="仿宋_GB2312" w:eastAsia="仿宋_GB2312" w:cs="仿宋_GB2312"/>
          <w:b w:val="0"/>
          <w:bCs w:val="0"/>
          <w:kern w:val="0"/>
        </w:rPr>
      </w:pPr>
      <w:r>
        <w:rPr>
          <w:rFonts w:ascii="仿宋_GB2312" w:hAnsi="仿宋_GB2312" w:eastAsia="仿宋_GB2312" w:cs="仿宋_GB2312"/>
          <w:b w:val="0"/>
          <w:bCs w:val="0"/>
          <w:kern w:val="0"/>
        </w:rPr>
        <w:t xml:space="preserve"> 政法队伍的素质与能力直接影响执法司法公信力与群众满意度。开展赴辽培训项目，是加强政法队伍建设、提升队伍整体素质的重要举措，有助于培养政治坚定、业务精通、作风优良的政法干部队伍，为政法事业长远发展提供人才保障。</w:t>
      </w:r>
    </w:p>
    <w:p w14:paraId="1137DBBD">
      <w:pPr>
        <w:pStyle w:val="6"/>
        <w:spacing w:before="0" w:after="0" w:line="560" w:lineRule="exact"/>
        <w:ind w:firstLine="640" w:firstLineChars="200"/>
        <w:jc w:val="both"/>
        <w:rPr>
          <w:rFonts w:ascii="仿宋_GB2312" w:hAnsi="仿宋_GB2312" w:eastAsia="仿宋_GB2312" w:cs="仿宋_GB2312"/>
          <w:b w:val="0"/>
          <w:bCs w:val="0"/>
          <w:kern w:val="0"/>
        </w:rPr>
      </w:pPr>
      <w:r>
        <w:rPr>
          <w:rFonts w:ascii="仿宋_GB2312" w:hAnsi="仿宋_GB2312" w:eastAsia="仿宋_GB2312" w:cs="仿宋_GB2312"/>
          <w:b w:val="0"/>
          <w:bCs w:val="0"/>
          <w:kern w:val="0"/>
        </w:rPr>
        <w:t xml:space="preserve"> 通过培训，政法干部将所学经验应用于本地实践，有助于优化地方社会治理格局，维护社会稳定，为地方经济社会高质量发展营造良好的法治环境和社会环境，更好地服务于地方发展战略。</w:t>
      </w:r>
    </w:p>
    <w:p w14:paraId="4BB3E6DE">
      <w:pPr>
        <w:pStyle w:val="6"/>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14:paraId="6B699D17">
      <w:pPr>
        <w:spacing w:line="560" w:lineRule="exact"/>
        <w:ind w:firstLine="600" w:firstLineChars="200"/>
        <w:jc w:val="left"/>
        <w:rPr>
          <w:rFonts w:eastAsia="仿宋_GB2312"/>
          <w:sz w:val="30"/>
          <w:szCs w:val="30"/>
        </w:rPr>
      </w:pPr>
      <w:r>
        <w:rPr>
          <w:rFonts w:eastAsia="仿宋_GB2312"/>
          <w:sz w:val="30"/>
          <w:szCs w:val="30"/>
        </w:rPr>
        <w:t>项目主要内容：</w:t>
      </w:r>
      <w:r>
        <w:rPr>
          <w:rFonts w:hint="eastAsia" w:ascii="仿宋_GB2312" w:hAnsi="仿宋_GB2312" w:eastAsia="仿宋_GB2312" w:cs="仿宋_GB2312"/>
          <w:kern w:val="0"/>
          <w:sz w:val="32"/>
          <w:szCs w:val="32"/>
        </w:rPr>
        <w:t>2024年政法委赴辽培训费</w:t>
      </w:r>
      <w:r>
        <w:rPr>
          <w:rFonts w:ascii="仿宋_GB2312" w:hAnsi="仿宋_GB2312" w:eastAsia="仿宋_GB2312" w:cs="仿宋_GB2312"/>
          <w:kern w:val="0"/>
          <w:sz w:val="32"/>
          <w:szCs w:val="32"/>
        </w:rPr>
        <w:t>项目</w:t>
      </w:r>
      <w:r>
        <w:rPr>
          <w:rFonts w:hint="eastAsia" w:ascii="仿宋_GB2312" w:hAnsi="仿宋_GB2312" w:eastAsia="仿宋_GB2312" w:cs="仿宋_GB2312"/>
          <w:kern w:val="0"/>
          <w:sz w:val="32"/>
          <w:szCs w:val="32"/>
        </w:rPr>
        <w:t>，2024年下达的赴辽培训交通费4.655万元，主要建设内容</w:t>
      </w:r>
      <w:r>
        <w:rPr>
          <w:rFonts w:ascii="仿宋_GB2312" w:hAnsi="仿宋_GB2312" w:eastAsia="仿宋_GB2312" w:cs="仿宋_GB2312"/>
          <w:kern w:val="0"/>
          <w:sz w:val="32"/>
          <w:szCs w:val="32"/>
        </w:rPr>
        <w:t>对</w:t>
      </w:r>
      <w:r>
        <w:rPr>
          <w:rFonts w:hint="eastAsia" w:ascii="仿宋_GB2312" w:hAnsi="仿宋_GB2312" w:eastAsia="仿宋_GB2312" w:cs="仿宋_GB2312"/>
          <w:kern w:val="0"/>
          <w:sz w:val="32"/>
          <w:szCs w:val="32"/>
        </w:rPr>
        <w:t>政法队伍赴辽宁学习交通</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本项目执行后提升培训人员的专业技能和知识水平，本项目 在为培训人员提供必要的交通支持，确保培训人员顺利参加培训和会议，项目资金来源于上级拨款的单位资金。</w:t>
      </w:r>
    </w:p>
    <w:p w14:paraId="5D2D982B">
      <w:pPr>
        <w:spacing w:line="560" w:lineRule="exact"/>
        <w:ind w:firstLine="640" w:firstLineChars="200"/>
      </w:pPr>
      <w:r>
        <w:rPr>
          <w:rFonts w:eastAsia="仿宋_GB2312"/>
          <w:sz w:val="32"/>
          <w:szCs w:val="32"/>
        </w:rPr>
        <w:t>项目实施情况：</w:t>
      </w:r>
      <w:r>
        <w:rPr>
          <w:rFonts w:hint="eastAsia" w:eastAsia="仿宋_GB2312"/>
          <w:sz w:val="32"/>
          <w:szCs w:val="32"/>
        </w:rPr>
        <w:t>此项目培训数3次，参加培训人数19人，已完成培训。</w:t>
      </w:r>
    </w:p>
    <w:p w14:paraId="736F9F92">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2ACFA668">
      <w:pPr>
        <w:spacing w:line="600" w:lineRule="exact"/>
        <w:ind w:firstLine="640" w:firstLineChars="200"/>
        <w:outlineLvl w:val="0"/>
        <w:rPr>
          <w:rFonts w:eastAsia="仿宋_GB2312"/>
          <w:sz w:val="32"/>
          <w:szCs w:val="32"/>
        </w:rPr>
      </w:pPr>
      <w:r>
        <w:rPr>
          <w:rFonts w:eastAsia="仿宋_GB2312"/>
          <w:sz w:val="32"/>
          <w:szCs w:val="32"/>
        </w:rPr>
        <w:t>（1）资金投入情况</w:t>
      </w:r>
    </w:p>
    <w:p w14:paraId="25AB5D45">
      <w:pPr>
        <w:spacing w:line="600" w:lineRule="exact"/>
        <w:ind w:firstLine="640" w:firstLineChars="200"/>
        <w:outlineLvl w:val="0"/>
        <w:rPr>
          <w:rFonts w:eastAsia="仿宋_GB2312"/>
          <w:sz w:val="32"/>
          <w:szCs w:val="32"/>
        </w:rPr>
      </w:pPr>
      <w:r>
        <w:rPr>
          <w:rFonts w:eastAsia="仿宋_GB2312"/>
          <w:sz w:val="32"/>
          <w:szCs w:val="32"/>
        </w:rPr>
        <w:t>该项</w:t>
      </w:r>
      <w:r>
        <w:rPr>
          <w:rFonts w:eastAsia="仿宋_GB2312"/>
          <w:sz w:val="30"/>
          <w:szCs w:val="30"/>
        </w:rPr>
        <w:t>目年初预算数</w:t>
      </w:r>
      <w:r>
        <w:rPr>
          <w:rFonts w:hint="eastAsia" w:eastAsia="仿宋_GB2312"/>
          <w:sz w:val="30"/>
          <w:szCs w:val="30"/>
        </w:rPr>
        <w:t>6</w:t>
      </w:r>
      <w:r>
        <w:rPr>
          <w:rFonts w:eastAsia="仿宋_GB2312"/>
          <w:sz w:val="30"/>
          <w:szCs w:val="30"/>
        </w:rPr>
        <w:t>万元，全年预算数</w:t>
      </w:r>
      <w:r>
        <w:rPr>
          <w:rFonts w:hint="eastAsia" w:eastAsia="仿宋_GB2312"/>
          <w:sz w:val="30"/>
          <w:szCs w:val="30"/>
        </w:rPr>
        <w:t>6</w:t>
      </w:r>
      <w:r>
        <w:rPr>
          <w:rFonts w:eastAsia="仿宋_GB2312"/>
          <w:sz w:val="30"/>
          <w:szCs w:val="30"/>
        </w:rPr>
        <w:t>万元，该项目资金已全部落实到位，资金来源为</w:t>
      </w:r>
      <w:r>
        <w:rPr>
          <w:rFonts w:hint="eastAsia" w:eastAsia="仿宋_GB2312"/>
          <w:sz w:val="30"/>
          <w:szCs w:val="30"/>
        </w:rPr>
        <w:t>其他资金（单位资金）</w:t>
      </w:r>
      <w:r>
        <w:rPr>
          <w:rFonts w:eastAsia="仿宋_GB2312"/>
          <w:sz w:val="32"/>
          <w:szCs w:val="32"/>
        </w:rPr>
        <w:t>。</w:t>
      </w:r>
    </w:p>
    <w:p w14:paraId="1CBF43AE">
      <w:pPr>
        <w:spacing w:line="600" w:lineRule="exact"/>
        <w:ind w:firstLine="640" w:firstLineChars="200"/>
        <w:outlineLvl w:val="0"/>
        <w:rPr>
          <w:rFonts w:eastAsia="仿宋_GB2312"/>
          <w:sz w:val="32"/>
          <w:szCs w:val="32"/>
        </w:rPr>
      </w:pPr>
      <w:r>
        <w:rPr>
          <w:rFonts w:eastAsia="仿宋_GB2312"/>
          <w:sz w:val="32"/>
          <w:szCs w:val="32"/>
        </w:rPr>
        <w:t>（2）资金使用情况</w:t>
      </w:r>
    </w:p>
    <w:p w14:paraId="229AA7CF">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6</w:t>
      </w:r>
      <w:r>
        <w:rPr>
          <w:rFonts w:eastAsia="仿宋_GB2312"/>
          <w:sz w:val="32"/>
          <w:szCs w:val="32"/>
        </w:rPr>
        <w:t>万元，全年预算数</w:t>
      </w:r>
      <w:r>
        <w:rPr>
          <w:rFonts w:hint="eastAsia" w:eastAsia="仿宋_GB2312"/>
          <w:sz w:val="32"/>
          <w:szCs w:val="32"/>
        </w:rPr>
        <w:t>6</w:t>
      </w:r>
      <w:r>
        <w:rPr>
          <w:rFonts w:eastAsia="仿宋_GB2312"/>
          <w:sz w:val="32"/>
          <w:szCs w:val="32"/>
        </w:rPr>
        <w:t>万元，全年执行数</w:t>
      </w:r>
      <w:r>
        <w:rPr>
          <w:rFonts w:hint="eastAsia" w:eastAsia="仿宋_GB2312"/>
          <w:sz w:val="32"/>
          <w:szCs w:val="32"/>
        </w:rPr>
        <w:t>4.655</w:t>
      </w:r>
      <w:r>
        <w:rPr>
          <w:rFonts w:eastAsia="仿宋_GB2312"/>
          <w:sz w:val="32"/>
          <w:szCs w:val="32"/>
        </w:rPr>
        <w:t>万元，预算执行率为</w:t>
      </w:r>
      <w:r>
        <w:rPr>
          <w:rFonts w:hint="eastAsia" w:eastAsia="仿宋_GB2312"/>
          <w:sz w:val="32"/>
          <w:szCs w:val="32"/>
        </w:rPr>
        <w:t>77.67</w:t>
      </w:r>
      <w:r>
        <w:rPr>
          <w:rFonts w:eastAsia="仿宋_GB2312"/>
          <w:sz w:val="32"/>
          <w:szCs w:val="32"/>
        </w:rPr>
        <w:t>%，主要用于：</w:t>
      </w:r>
      <w:r>
        <w:rPr>
          <w:rFonts w:hint="eastAsia" w:eastAsia="仿宋_GB2312"/>
          <w:sz w:val="32"/>
          <w:szCs w:val="32"/>
        </w:rPr>
        <w:t>政法队伍赴辽培训交通费</w:t>
      </w:r>
      <w:r>
        <w:rPr>
          <w:rFonts w:eastAsia="仿宋_GB2312"/>
          <w:sz w:val="32"/>
          <w:szCs w:val="32"/>
        </w:rPr>
        <w:t>。</w:t>
      </w:r>
    </w:p>
    <w:p w14:paraId="01217A27">
      <w:pPr>
        <w:spacing w:line="600" w:lineRule="exact"/>
        <w:ind w:firstLine="643" w:firstLineChars="200"/>
        <w:outlineLvl w:val="0"/>
        <w:rPr>
          <w:rFonts w:eastAsia="楷体_GB2312"/>
          <w:b/>
          <w:bCs/>
          <w:sz w:val="32"/>
          <w:szCs w:val="32"/>
        </w:rPr>
      </w:pPr>
      <w:r>
        <w:rPr>
          <w:rFonts w:eastAsia="楷体_GB2312"/>
          <w:b/>
          <w:bCs/>
          <w:sz w:val="32"/>
          <w:szCs w:val="32"/>
        </w:rPr>
        <w:t>（二）项目绩效目标</w:t>
      </w:r>
    </w:p>
    <w:p w14:paraId="71604E14">
      <w:pPr>
        <w:spacing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14:paraId="6510D00D">
      <w:pPr>
        <w:spacing w:line="560" w:lineRule="exact"/>
        <w:ind w:firstLine="640" w:firstLineChars="200"/>
        <w:rPr>
          <w:rFonts w:eastAsia="仿宋_GB2312"/>
          <w:sz w:val="32"/>
          <w:szCs w:val="32"/>
        </w:rPr>
      </w:pPr>
      <w:r>
        <w:rPr>
          <w:rFonts w:eastAsia="仿宋_GB2312"/>
          <w:sz w:val="32"/>
          <w:szCs w:val="32"/>
        </w:rPr>
        <w:t>2024年赴辽培训资金项目6万元，用于20名赶辽培训人员，进行4次培训活动，确保赴辽培训人员交通费按时执行，加强政法队伍建设，工作人员对</w:t>
      </w:r>
      <w:r>
        <w:rPr>
          <w:rFonts w:hint="eastAsia" w:eastAsia="仿宋_GB2312"/>
          <w:sz w:val="32"/>
          <w:szCs w:val="32"/>
        </w:rPr>
        <w:t>项目</w:t>
      </w:r>
      <w:r>
        <w:rPr>
          <w:rFonts w:eastAsia="仿宋_GB2312"/>
          <w:sz w:val="32"/>
          <w:szCs w:val="32"/>
        </w:rPr>
        <w:t>的满意度达到95%。</w:t>
      </w:r>
    </w:p>
    <w:p w14:paraId="70FC3B62">
      <w:pPr>
        <w:numPr>
          <w:ilvl w:val="0"/>
          <w:numId w:val="1"/>
        </w:numPr>
        <w:spacing w:line="560" w:lineRule="exact"/>
        <w:ind w:firstLine="640" w:firstLineChars="200"/>
        <w:rPr>
          <w:rFonts w:eastAsia="仿宋_GB2312"/>
          <w:sz w:val="32"/>
          <w:szCs w:val="32"/>
        </w:rPr>
      </w:pPr>
      <w:r>
        <w:rPr>
          <w:rFonts w:eastAsia="仿宋_GB2312"/>
          <w:sz w:val="32"/>
          <w:szCs w:val="32"/>
        </w:rPr>
        <w:t>阶段性目标</w:t>
      </w:r>
    </w:p>
    <w:p w14:paraId="05C1E895">
      <w:pPr>
        <w:spacing w:line="560" w:lineRule="exact"/>
        <w:ind w:firstLine="640" w:firstLineChars="200"/>
        <w:rPr>
          <w:rFonts w:eastAsia="仿宋_GB2312"/>
          <w:sz w:val="32"/>
          <w:szCs w:val="32"/>
        </w:rPr>
      </w:pPr>
      <w:r>
        <w:rPr>
          <w:rFonts w:eastAsia="仿宋_GB2312"/>
          <w:sz w:val="32"/>
          <w:szCs w:val="32"/>
        </w:rPr>
        <w:t>筹备启动阶段</w:t>
      </w:r>
      <w:r>
        <w:rPr>
          <w:rFonts w:hint="eastAsia" w:eastAsia="仿宋_GB2312"/>
          <w:sz w:val="32"/>
          <w:szCs w:val="32"/>
        </w:rPr>
        <w:t>：</w:t>
      </w:r>
      <w:r>
        <w:rPr>
          <w:rFonts w:eastAsia="仿宋_GB2312"/>
          <w:sz w:val="32"/>
          <w:szCs w:val="32"/>
        </w:rPr>
        <w:t>通过问卷调查、访谈等形式，收集参训政法干部在平安建设、矛盾调解、执法规范化等方面的知识短板与学习需求</w:t>
      </w:r>
      <w:r>
        <w:rPr>
          <w:rFonts w:hint="eastAsia" w:eastAsia="仿宋_GB2312"/>
          <w:sz w:val="32"/>
          <w:szCs w:val="32"/>
        </w:rPr>
        <w:t>。</w:t>
      </w:r>
      <w:r>
        <w:rPr>
          <w:rFonts w:eastAsia="仿宋_GB2312"/>
          <w:sz w:val="32"/>
          <w:szCs w:val="32"/>
        </w:rPr>
        <w:t>根据调研结果，结合辽宁政法工作特色，制定涵盖培训课程、师资安排、日程规划等内容的详细培训方案，明确培训目标、重点与预期成果</w:t>
      </w:r>
      <w:r>
        <w:rPr>
          <w:rFonts w:hint="eastAsia" w:eastAsia="仿宋_GB2312"/>
          <w:sz w:val="32"/>
          <w:szCs w:val="32"/>
        </w:rPr>
        <w:t>。</w:t>
      </w:r>
      <w:r>
        <w:rPr>
          <w:rFonts w:eastAsia="仿宋_GB2312"/>
          <w:sz w:val="32"/>
          <w:szCs w:val="32"/>
        </w:rPr>
        <w:t>与辽宁政法系统相关单位建立沟通机制，确定培训合作事宜，落实培训场地、实践教学点等资源。同时，邀请辽宁政法领域专家、业务骨干、优秀基层工作者组成授课团队，确保培训内容的专业性与实践性</w:t>
      </w:r>
      <w:r>
        <w:rPr>
          <w:rFonts w:hint="eastAsia" w:eastAsia="仿宋_GB2312"/>
          <w:sz w:val="32"/>
          <w:szCs w:val="32"/>
        </w:rPr>
        <w:t>。</w:t>
      </w:r>
      <w:r>
        <w:rPr>
          <w:rFonts w:eastAsia="仿宋_GB2312"/>
          <w:sz w:val="32"/>
          <w:szCs w:val="32"/>
        </w:rPr>
        <w:t>完成参训人员的选拔与名单确定，做好通知发放、行程安排等工作。准备培训所需的教材、学习资料、物资设备等，建立培训管理小组，明确人员分工与职责，制定培训纪律与安全保障预案。</w:t>
      </w:r>
    </w:p>
    <w:p w14:paraId="69E78B8C">
      <w:pPr>
        <w:spacing w:line="560" w:lineRule="exact"/>
        <w:ind w:firstLine="640" w:firstLineChars="200"/>
        <w:rPr>
          <w:rFonts w:eastAsia="仿宋_GB2312"/>
          <w:sz w:val="32"/>
          <w:szCs w:val="32"/>
        </w:rPr>
      </w:pPr>
      <w:r>
        <w:rPr>
          <w:rFonts w:eastAsia="仿宋_GB2312"/>
          <w:sz w:val="32"/>
          <w:szCs w:val="32"/>
        </w:rPr>
        <w:t>培训实施阶段</w:t>
      </w:r>
      <w:r>
        <w:rPr>
          <w:rFonts w:hint="eastAsia" w:eastAsia="仿宋_GB2312"/>
          <w:sz w:val="32"/>
          <w:szCs w:val="32"/>
        </w:rPr>
        <w:t>：</w:t>
      </w:r>
      <w:r>
        <w:rPr>
          <w:rFonts w:eastAsia="仿宋_GB2312"/>
          <w:sz w:val="32"/>
          <w:szCs w:val="32"/>
        </w:rPr>
        <w:t>围绕党的政法工作理论、辽宁政法改革创新经验（如智慧政法平台建设、法治化营商环境优化案例）等内容，通过专家授课、案例分析等形式，帮助学员系统掌握政法工作新理论、新方法，提升理论素养与政策水平。通过现场讲解、互动交流，让学员直观了解辽宁政法工作的创新模式与实际成效，学习先进工作经验与操作流程。</w:t>
      </w:r>
      <w:r>
        <w:rPr>
          <w:rFonts w:hint="eastAsia" w:eastAsia="仿宋_GB2312"/>
          <w:sz w:val="32"/>
          <w:szCs w:val="32"/>
        </w:rPr>
        <w:t>组织</w:t>
      </w:r>
      <w:r>
        <w:rPr>
          <w:rFonts w:eastAsia="仿宋_GB2312"/>
          <w:sz w:val="32"/>
          <w:szCs w:val="32"/>
        </w:rPr>
        <w:t>研讨与经验分享会，围绕培训所学内容及本地政法工作实际，开展交流讨论，碰撞思想火花，形成可借鉴的工作思路与改进方案。同时，邀请授课专家进行针对性点评与指导，深化学习效果。</w:t>
      </w:r>
    </w:p>
    <w:p w14:paraId="6D334C74">
      <w:pPr>
        <w:spacing w:line="560" w:lineRule="exact"/>
        <w:ind w:firstLine="640" w:firstLineChars="200"/>
        <w:rPr>
          <w:rFonts w:eastAsia="仿宋_GB2312"/>
          <w:sz w:val="32"/>
          <w:szCs w:val="32"/>
        </w:rPr>
      </w:pPr>
      <w:r>
        <w:rPr>
          <w:rFonts w:eastAsia="仿宋_GB2312"/>
          <w:sz w:val="32"/>
          <w:szCs w:val="32"/>
        </w:rPr>
        <w:t>总结转化阶段</w:t>
      </w:r>
      <w:r>
        <w:rPr>
          <w:rFonts w:hint="eastAsia" w:eastAsia="仿宋_GB2312"/>
          <w:sz w:val="32"/>
          <w:szCs w:val="32"/>
        </w:rPr>
        <w:t>：</w:t>
      </w:r>
      <w:r>
        <w:rPr>
          <w:rFonts w:eastAsia="仿宋_GB2312"/>
          <w:sz w:val="32"/>
          <w:szCs w:val="32"/>
        </w:rPr>
        <w:t>参训学员结合学习收获与本地政法工作实际，提出改进工作的具体措施与建议。通过问卷调查、座谈等方式，收集学员对培训内容、教学方式、组织管理等方面的反馈意见，评估培训效果，总结经验与不足</w:t>
      </w:r>
      <w:r>
        <w:rPr>
          <w:rFonts w:hint="eastAsia" w:eastAsia="仿宋_GB2312"/>
          <w:sz w:val="32"/>
          <w:szCs w:val="32"/>
        </w:rPr>
        <w:t>。</w:t>
      </w:r>
      <w:r>
        <w:rPr>
          <w:rFonts w:eastAsia="仿宋_GB2312"/>
          <w:sz w:val="32"/>
          <w:szCs w:val="32"/>
        </w:rPr>
        <w:t>组织开展本地政法系统内的学习分享会，由参训学员向同事传授辽宁政法工作先进经验与培训所学知识，扩大培训影响力。推动学员将学习成果转化为实际工作成效，在本地试点推广辽宁政法工作优秀做法，如矛盾纠纷多元化解机制、网格化管理模式等</w:t>
      </w:r>
      <w:r>
        <w:rPr>
          <w:rFonts w:hint="eastAsia" w:eastAsia="仿宋_GB2312"/>
          <w:sz w:val="32"/>
          <w:szCs w:val="32"/>
        </w:rPr>
        <w:t>。</w:t>
      </w:r>
      <w:r>
        <w:rPr>
          <w:rFonts w:eastAsia="仿宋_GB2312"/>
          <w:sz w:val="32"/>
          <w:szCs w:val="32"/>
        </w:rPr>
        <w:t>根据培训评估结果与实际应用反馈，建立与辽宁政法系统的长期交流合作机制，定期开展业务交流、人员互访等活动。同时，完善本地政法干部培训体系，将优秀培训模式与内容纳入常态化培训规划，持续提升政法干部队伍素质与工作能力。</w:t>
      </w:r>
    </w:p>
    <w:p w14:paraId="3E2BAEC8">
      <w:pPr>
        <w:spacing w:line="560" w:lineRule="exact"/>
        <w:ind w:firstLine="640" w:firstLineChars="200"/>
        <w:rPr>
          <w:rFonts w:eastAsia="黑体"/>
          <w:sz w:val="32"/>
          <w:szCs w:val="32"/>
        </w:rPr>
      </w:pPr>
      <w:r>
        <w:rPr>
          <w:rFonts w:eastAsia="黑体"/>
          <w:sz w:val="32"/>
          <w:szCs w:val="32"/>
        </w:rPr>
        <w:t>二、绩效评价工作开展情况</w:t>
      </w:r>
    </w:p>
    <w:p w14:paraId="5FB3B71D">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4BB68593">
      <w:pPr>
        <w:pStyle w:val="6"/>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1.绩效评价完整性</w:t>
      </w:r>
    </w:p>
    <w:p w14:paraId="45299E1F">
      <w:pPr>
        <w:spacing w:line="560" w:lineRule="exact"/>
        <w:ind w:firstLine="640" w:firstLineChars="20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E74FFBE">
      <w:pPr>
        <w:spacing w:line="560" w:lineRule="exact"/>
        <w:ind w:firstLine="640" w:firstLineChars="200"/>
        <w:rPr>
          <w:rFonts w:eastAsia="仿宋_GB2312"/>
          <w:sz w:val="32"/>
          <w:szCs w:val="32"/>
        </w:rPr>
      </w:pPr>
      <w:r>
        <w:rPr>
          <w:rFonts w:eastAsia="仿宋_GB2312"/>
          <w:sz w:val="32"/>
          <w:szCs w:val="32"/>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68A6D31D">
      <w:pPr>
        <w:spacing w:line="560" w:lineRule="exact"/>
        <w:ind w:firstLine="640" w:firstLineChars="200"/>
        <w:rPr>
          <w:rFonts w:eastAsia="仿宋_GB2312"/>
          <w:sz w:val="32"/>
          <w:szCs w:val="32"/>
        </w:rPr>
      </w:pPr>
      <w:r>
        <w:rPr>
          <w:rFonts w:eastAsia="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1FFC847">
      <w:pPr>
        <w:spacing w:line="560" w:lineRule="exact"/>
        <w:ind w:firstLine="640" w:firstLineChars="200"/>
        <w:rPr>
          <w:rFonts w:eastAsia="仿宋_GB2312"/>
          <w:sz w:val="32"/>
          <w:szCs w:val="32"/>
        </w:rPr>
      </w:pPr>
      <w:r>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619ED71">
      <w:pPr>
        <w:spacing w:line="560" w:lineRule="exact"/>
        <w:ind w:firstLine="640" w:firstLineChars="200"/>
        <w:rPr>
          <w:rFonts w:eastAsia="仿宋_GB2312"/>
          <w:sz w:val="32"/>
          <w:szCs w:val="32"/>
        </w:rPr>
      </w:pPr>
      <w:r>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29C69789">
      <w:pPr>
        <w:spacing w:line="560" w:lineRule="exact"/>
        <w:ind w:firstLine="640" w:firstLineChars="200"/>
        <w:rPr>
          <w:rFonts w:eastAsia="仿宋_GB2312"/>
          <w:sz w:val="32"/>
          <w:szCs w:val="32"/>
        </w:rPr>
      </w:pPr>
      <w:r>
        <w:rPr>
          <w:rFonts w:eastAsia="仿宋_GB2312"/>
          <w:sz w:val="32"/>
          <w:szCs w:val="32"/>
        </w:rPr>
        <w:t>2.绩效评价的目的</w:t>
      </w:r>
    </w:p>
    <w:p w14:paraId="20C4592E">
      <w:pPr>
        <w:spacing w:line="560" w:lineRule="exact"/>
        <w:ind w:firstLine="640" w:firstLineChars="200"/>
        <w:rPr>
          <w:rFonts w:eastAsia="仿宋_GB2312"/>
          <w:sz w:val="32"/>
          <w:szCs w:val="32"/>
        </w:rPr>
      </w:pPr>
      <w:r>
        <w:rPr>
          <w:rFonts w:eastAsia="仿宋_GB2312"/>
          <w:sz w:val="32"/>
          <w:szCs w:val="32"/>
        </w:rPr>
        <w:t>（1）评估项目实施效果</w:t>
      </w:r>
    </w:p>
    <w:p w14:paraId="0F2C0E7F">
      <w:pPr>
        <w:spacing w:line="560" w:lineRule="exact"/>
        <w:ind w:firstLine="640" w:firstLineChars="20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通过对项目预算执行情况及各项绩效目标达成程度的系统性分析，全面、客观地评估项目在预定周期内的实施效果，包括社会效益维度指标，为项目后续的改进与优化提供科学依据。</w:t>
      </w:r>
    </w:p>
    <w:p w14:paraId="21C5BD47">
      <w:pPr>
        <w:spacing w:line="560" w:lineRule="exact"/>
        <w:ind w:firstLine="640" w:firstLineChars="200"/>
        <w:rPr>
          <w:rFonts w:eastAsia="仿宋_GB2312"/>
          <w:sz w:val="32"/>
          <w:szCs w:val="32"/>
        </w:rPr>
      </w:pPr>
      <w:r>
        <w:rPr>
          <w:rFonts w:eastAsia="仿宋_GB2312"/>
          <w:sz w:val="32"/>
          <w:szCs w:val="32"/>
        </w:rPr>
        <w:t>（2）提升资源利用效率</w:t>
      </w:r>
    </w:p>
    <w:p w14:paraId="747617EB">
      <w:pPr>
        <w:spacing w:line="560" w:lineRule="exact"/>
        <w:ind w:firstLine="640" w:firstLineChars="200"/>
        <w:rPr>
          <w:rFonts w:eastAsia="仿宋_GB2312"/>
          <w:sz w:val="32"/>
          <w:szCs w:val="32"/>
        </w:rPr>
      </w:pP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752721F6">
      <w:pPr>
        <w:spacing w:line="560" w:lineRule="exact"/>
        <w:ind w:firstLine="640" w:firstLineChars="200"/>
        <w:rPr>
          <w:rFonts w:eastAsia="仿宋_GB2312"/>
          <w:sz w:val="32"/>
          <w:szCs w:val="32"/>
        </w:rPr>
      </w:pPr>
      <w:r>
        <w:rPr>
          <w:rFonts w:eastAsia="仿宋_GB2312"/>
          <w:sz w:val="32"/>
          <w:szCs w:val="32"/>
        </w:rPr>
        <w:t>（3）强化项目管理责任</w:t>
      </w:r>
    </w:p>
    <w:p w14:paraId="1A5F18AC">
      <w:pPr>
        <w:spacing w:line="560" w:lineRule="exact"/>
        <w:ind w:firstLine="640" w:firstLineChars="20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6D06D2F">
      <w:pPr>
        <w:spacing w:line="560" w:lineRule="exact"/>
        <w:ind w:firstLine="640" w:firstLineChars="200"/>
        <w:rPr>
          <w:rFonts w:eastAsia="仿宋_GB2312"/>
          <w:sz w:val="32"/>
          <w:szCs w:val="32"/>
        </w:rPr>
      </w:pPr>
      <w:r>
        <w:rPr>
          <w:rFonts w:eastAsia="仿宋_GB2312"/>
          <w:sz w:val="32"/>
          <w:szCs w:val="32"/>
        </w:rPr>
        <w:t>（4）为决策提供支持</w:t>
      </w:r>
    </w:p>
    <w:p w14:paraId="41E20B58">
      <w:pPr>
        <w:spacing w:line="560" w:lineRule="exact"/>
        <w:ind w:firstLine="640" w:firstLineChars="20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05486D1">
      <w:pPr>
        <w:spacing w:line="560" w:lineRule="exact"/>
        <w:ind w:firstLine="640" w:firstLineChars="200"/>
        <w:rPr>
          <w:rFonts w:eastAsia="仿宋_GB2312"/>
          <w:sz w:val="32"/>
          <w:szCs w:val="32"/>
        </w:rPr>
      </w:pPr>
      <w:r>
        <w:rPr>
          <w:rFonts w:eastAsia="仿宋_GB2312"/>
          <w:sz w:val="32"/>
          <w:szCs w:val="32"/>
        </w:rPr>
        <w:t>（5）促进项目持续改进</w:t>
      </w:r>
    </w:p>
    <w:p w14:paraId="68D23CE0">
      <w:pPr>
        <w:spacing w:line="560" w:lineRule="exact"/>
        <w:ind w:firstLine="640" w:firstLineChars="20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29AE73B">
      <w:pPr>
        <w:spacing w:line="560" w:lineRule="exact"/>
        <w:ind w:firstLine="640" w:firstLineChars="200"/>
        <w:rPr>
          <w:rFonts w:eastAsia="方正仿宋_GBK"/>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C6FFE18">
      <w:pPr>
        <w:pStyle w:val="6"/>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w:t>
      </w:r>
      <w:r>
        <w:rPr>
          <w:rFonts w:ascii="Times New Roman" w:hAnsi="Times New Roman" w:eastAsia="仿宋_GB2312"/>
          <w:b w:val="0"/>
          <w:bCs w:val="0"/>
        </w:rPr>
        <w:t>绩效评价的对象</w:t>
      </w:r>
    </w:p>
    <w:p w14:paraId="1CF477BA">
      <w:pPr>
        <w:pStyle w:val="6"/>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本项目预算绩效评价报告的评价对象是</w:t>
      </w:r>
      <w:r>
        <w:rPr>
          <w:rFonts w:hint="eastAsia" w:ascii="Times New Roman" w:hAnsi="Times New Roman" w:eastAsia="仿宋_GB2312"/>
          <w:b w:val="0"/>
          <w:bCs w:val="0"/>
        </w:rPr>
        <w:t>2024年政法委赴辽培训费项目</w:t>
      </w:r>
      <w:r>
        <w:rPr>
          <w:rFonts w:ascii="Times New Roman" w:hAnsi="Times New Roman" w:eastAsia="仿宋_GB2312"/>
          <w:b w:val="0"/>
          <w:bCs w:val="0"/>
        </w:rPr>
        <w:t>及其预算执行情况。该项目由中共托里县委政法委员会负责实施，旨在加强政法队伍建设。项目预算涵盖从</w:t>
      </w:r>
      <w:r>
        <w:rPr>
          <w:rFonts w:hint="eastAsia" w:ascii="Times New Roman" w:hAnsi="Times New Roman" w:eastAsia="仿宋_GB2312"/>
          <w:b w:val="0"/>
          <w:bCs w:val="0"/>
        </w:rPr>
        <w:t>2024月1日</w:t>
      </w:r>
      <w:r>
        <w:rPr>
          <w:rFonts w:ascii="Times New Roman" w:hAnsi="Times New Roman" w:eastAsia="仿宋_GB2312"/>
          <w:b w:val="0"/>
          <w:bCs w:val="0"/>
        </w:rPr>
        <w:t>至</w:t>
      </w:r>
      <w:r>
        <w:rPr>
          <w:rFonts w:hint="eastAsia" w:ascii="Times New Roman" w:hAnsi="Times New Roman" w:eastAsia="仿宋_GB2312"/>
          <w:b w:val="0"/>
          <w:bCs w:val="0"/>
        </w:rPr>
        <w:t>2024年12月31日</w:t>
      </w:r>
      <w:r>
        <w:rPr>
          <w:rFonts w:ascii="Times New Roman" w:hAnsi="Times New Roman" w:eastAsia="仿宋_GB2312"/>
          <w:b w:val="0"/>
          <w:bCs w:val="0"/>
        </w:rPr>
        <w:t>的全部资金投入与支出，涉及资金总额为</w:t>
      </w:r>
      <w:r>
        <w:rPr>
          <w:rFonts w:hint="eastAsia" w:ascii="Times New Roman" w:hAnsi="Times New Roman" w:eastAsia="仿宋_GB2312"/>
          <w:b w:val="0"/>
          <w:bCs w:val="0"/>
        </w:rPr>
        <w:t>6</w:t>
      </w:r>
      <w:r>
        <w:rPr>
          <w:rFonts w:ascii="Times New Roman" w:hAnsi="Times New Roman" w:eastAsia="仿宋_GB2312"/>
          <w:b w:val="0"/>
          <w:bCs w:val="0"/>
        </w:rPr>
        <w:t>万元。</w:t>
      </w:r>
    </w:p>
    <w:p w14:paraId="014443B7">
      <w:pPr>
        <w:pStyle w:val="6"/>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4.绩效评价的范围</w:t>
      </w:r>
    </w:p>
    <w:p w14:paraId="6E957607">
      <w:pPr>
        <w:pStyle w:val="6"/>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本项目预算绩效评价报告的评价范围广泛而全面，涵盖了从项目立项至评价时点期间的所有关键预算活动和财务流程。具体而言，评价范围包括但不限于以下几个方面：</w:t>
      </w:r>
    </w:p>
    <w:p w14:paraId="4B5523F5">
      <w:pPr>
        <w:pStyle w:val="6"/>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项目预算编制与执行：全面审视项目预算的编制依据、合理性、科学性以及实际执行情况，包括预算调整的原因和效果。</w:t>
      </w:r>
    </w:p>
    <w:p w14:paraId="2FD8F091">
      <w:pPr>
        <w:pStyle w:val="6"/>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资金管理：深入分析项目资金的分配、使用和监管情况，确保资金使用的合规性、高效性和透明度。</w:t>
      </w:r>
    </w:p>
    <w:p w14:paraId="2636100F">
      <w:pPr>
        <w:pStyle w:val="6"/>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项目实施进度与产出：评估项目是否按照既定计划顺利推进，各项任务是否按时完成，以及项目产出的数量、质量和时效性是否符合预期。</w:t>
      </w:r>
    </w:p>
    <w:p w14:paraId="4FDB4098">
      <w:pPr>
        <w:pStyle w:val="6"/>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社会影响：考察项目对社会方面的综合影响。</w:t>
      </w:r>
    </w:p>
    <w:p w14:paraId="7A7D907B">
      <w:pPr>
        <w:spacing w:line="560" w:lineRule="exact"/>
        <w:ind w:firstLine="643" w:firstLineChars="200"/>
      </w:pPr>
      <w:r>
        <w:rPr>
          <w:rFonts w:eastAsia="楷体_GB2312"/>
          <w:b/>
          <w:bCs/>
          <w:sz w:val="32"/>
          <w:szCs w:val="32"/>
        </w:rPr>
        <w:t>（二）绩效评价原则、评价指标体系（详情见表1）、评价方法、评价标准。</w:t>
      </w:r>
    </w:p>
    <w:p w14:paraId="7818389A">
      <w:pPr>
        <w:pStyle w:val="6"/>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14:paraId="430E129B">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7884C018">
      <w:pPr>
        <w:pStyle w:val="6"/>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209D4619">
      <w:pPr>
        <w:pStyle w:val="6"/>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01F6F316">
      <w:pPr>
        <w:pStyle w:val="6"/>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52F52D67">
      <w:pPr>
        <w:pStyle w:val="6"/>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59A1B410">
      <w:pPr>
        <w:pStyle w:val="6"/>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14:paraId="66E37A4B">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7389229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10855B8D">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56C75AE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4B0F17F1">
      <w:pPr>
        <w:spacing w:line="560" w:lineRule="exact"/>
        <w:ind w:firstLine="708" w:firstLineChars="200"/>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w:t>
      </w:r>
      <w:r>
        <w:rPr>
          <w:rFonts w:hint="eastAsia" w:eastAsia="仿宋_GB2312"/>
          <w:color w:val="000000"/>
          <w:spacing w:val="17"/>
          <w:sz w:val="32"/>
          <w:szCs w:val="32"/>
        </w:rPr>
        <w:t>40</w:t>
      </w:r>
      <w:r>
        <w:rPr>
          <w:rFonts w:eastAsia="仿宋_GB2312"/>
          <w:color w:val="000000"/>
          <w:spacing w:val="17"/>
          <w:sz w:val="32"/>
          <w:szCs w:val="32"/>
        </w:rPr>
        <w:t>分，项目效益权重为</w:t>
      </w:r>
      <w:r>
        <w:rPr>
          <w:rFonts w:hint="eastAsia" w:eastAsia="仿宋_GB2312"/>
          <w:color w:val="000000"/>
          <w:spacing w:val="17"/>
          <w:sz w:val="32"/>
          <w:szCs w:val="32"/>
        </w:rPr>
        <w:t>20</w:t>
      </w:r>
      <w:r>
        <w:rPr>
          <w:rFonts w:eastAsia="仿宋_GB2312"/>
          <w:color w:val="000000"/>
          <w:spacing w:val="17"/>
          <w:sz w:val="32"/>
          <w:szCs w:val="32"/>
        </w:rPr>
        <w:t>分。</w:t>
      </w:r>
    </w:p>
    <w:p w14:paraId="2F98353C">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4ABDCB6D">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10AE8EC0">
      <w:pPr>
        <w:pStyle w:val="6"/>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绩效评价总分值100分，根据综合评分结果，90（含）-100分为优、80（含）-90分为良、60（含）-80分为中、60分以下为差。</w:t>
      </w:r>
    </w:p>
    <w:p w14:paraId="3B377DC5">
      <w:pPr>
        <w:pStyle w:val="6"/>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730FA572">
      <w:pPr>
        <w:pStyle w:val="6"/>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3067F69B">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59933681">
      <w:pPr>
        <w:tabs>
          <w:tab w:val="left" w:pos="1470"/>
        </w:tabs>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6D43A0D8">
      <w:pPr>
        <w:tabs>
          <w:tab w:val="left" w:pos="1470"/>
        </w:tabs>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（一）成本效益分析法。是指将投入与产出、效益进行关联性分析的方法。</w:t>
      </w:r>
      <w:r>
        <w:rPr>
          <w:rFonts w:hint="eastAsia" w:eastAsia="仿宋_GB2312"/>
          <w:color w:val="000000"/>
          <w:spacing w:val="17"/>
          <w:sz w:val="32"/>
          <w:szCs w:val="32"/>
        </w:rPr>
        <w:t>该项目直接成本包括参训人员的交通费用，如参训人员的往返机票、高铁票等；间接成本包括组织管理成本，如政法委组织培训过程中工作人员的时间和精力投入，以及培训管理小组的运营成本；机会成本，如参训人员因参加培训而无法工作产生的潜在损失，以及单位为安排人员参训需重新调整工作安排所带来的额外成本。但是参加培训能让参训人员快速获取辽宁政法工作的先进经验和创新做法，如在社会治理、矛盾纠纷化解等方面的具体措施，可立即应用到实际工作中，短期内提升本地政法工作的效率和质量。也有助于优化本地政法工作的流程和机制，通过学习辽宁在智慧政法建设、执法规范化等方面的经验，推动本地相关工作的改革和完善，提高政法系统的整体运行效能，增强群众对政法工作的满意度。另外，也可以提升政法干部队伍的整体素质和能力，为政法事业的长远发展培养人才。经过培训的干部能更好地应对复杂多变的社会形势和政法工作挑战，为维护社会稳定、促进经济社会发展提供有力保障，产生长期的社会效益。</w:t>
      </w:r>
    </w:p>
    <w:p w14:paraId="66488B75">
      <w:pPr>
        <w:tabs>
          <w:tab w:val="left" w:pos="1470"/>
        </w:tabs>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w:t>
      </w:r>
      <w:r>
        <w:rPr>
          <w:rFonts w:hint="eastAsia" w:eastAsia="仿宋_GB2312"/>
          <w:color w:val="000000"/>
          <w:spacing w:val="17"/>
          <w:sz w:val="32"/>
          <w:szCs w:val="32"/>
        </w:rPr>
        <w:t>二</w:t>
      </w:r>
      <w:r>
        <w:rPr>
          <w:rFonts w:eastAsia="仿宋_GB2312"/>
          <w:color w:val="000000"/>
          <w:spacing w:val="17"/>
          <w:sz w:val="32"/>
          <w:szCs w:val="32"/>
        </w:rPr>
        <w:t>）公众评判法。是指通过专家评估、公众问卷及抽样调查等方式进行评判的方法。</w:t>
      </w:r>
      <w:r>
        <w:rPr>
          <w:rFonts w:hint="eastAsia" w:eastAsia="仿宋_GB2312"/>
          <w:color w:val="000000"/>
          <w:spacing w:val="17"/>
          <w:sz w:val="32"/>
          <w:szCs w:val="32"/>
        </w:rPr>
        <w:t>该项目对参训人员进行满意度调查，通过收集到的信息，能为政法委赴辽培训项目的效果评估提供丰富、全面的依据，有助于发现问题、总结经验，为后续培训工作的改进和优化提供参考。</w:t>
      </w:r>
    </w:p>
    <w:p w14:paraId="1CAE0A46">
      <w:pPr>
        <w:pStyle w:val="6"/>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14:paraId="27289F11">
      <w:pPr>
        <w:pStyle w:val="6"/>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b w:val="0"/>
          <w:bCs w:val="0"/>
        </w:rPr>
        <w:t>计划</w:t>
      </w:r>
      <w:r>
        <w:rPr>
          <w:rFonts w:ascii="Times New Roman" w:hAnsi="Times New Roman" w:eastAsia="仿宋_GB2312"/>
          <w:b w:val="0"/>
          <w:bCs w:val="0"/>
        </w:rPr>
        <w:t>标准。</w:t>
      </w:r>
    </w:p>
    <w:p w14:paraId="72211E6B">
      <w:pPr>
        <w:pStyle w:val="6"/>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（1）计划标准。指以预先制定的目标、计划、预算、定额等作为评价标准。</w:t>
      </w:r>
    </w:p>
    <w:p w14:paraId="3B5D6235">
      <w:pPr>
        <w:pStyle w:val="6"/>
        <w:numPr>
          <w:ilvl w:val="0"/>
          <w:numId w:val="3"/>
        </w:numPr>
        <w:spacing w:before="0" w:after="0" w:line="560" w:lineRule="exact"/>
        <w:ind w:firstLine="711" w:firstLineChars="200"/>
        <w:jc w:val="both"/>
        <w:rPr>
          <w:rFonts w:ascii="Times New Roman" w:hAnsi="Times New Roman" w:eastAsia="楷体"/>
          <w:color w:val="000000"/>
          <w:spacing w:val="17"/>
        </w:rPr>
      </w:pPr>
      <w:r>
        <w:rPr>
          <w:rFonts w:ascii="Times New Roman" w:hAnsi="Times New Roman" w:eastAsia="楷体"/>
          <w:color w:val="000000"/>
          <w:spacing w:val="17"/>
        </w:rPr>
        <w:t>绩效评价工作过程</w:t>
      </w:r>
    </w:p>
    <w:p w14:paraId="6C7C6AE5">
      <w:pPr>
        <w:spacing w:line="560" w:lineRule="exact"/>
        <w:ind w:firstLine="640" w:firstLineChars="200"/>
        <w:rPr>
          <w:rFonts w:eastAsia="仿宋_GB2312"/>
          <w:sz w:val="32"/>
          <w:szCs w:val="32"/>
        </w:rPr>
      </w:pPr>
      <w:r>
        <w:rPr>
          <w:rFonts w:eastAsia="仿宋_GB2312"/>
          <w:sz w:val="32"/>
          <w:szCs w:val="32"/>
        </w:rPr>
        <w:t>（1）前期准备与规划</w:t>
      </w:r>
    </w:p>
    <w:p w14:paraId="078C867D">
      <w:pPr>
        <w:spacing w:line="560" w:lineRule="exact"/>
        <w:ind w:firstLine="640" w:firstLineChars="200"/>
        <w:rPr>
          <w:rFonts w:eastAsia="仿宋_GB2312"/>
          <w:sz w:val="32"/>
          <w:szCs w:val="32"/>
        </w:rPr>
      </w:pPr>
      <w:r>
        <w:rPr>
          <w:rFonts w:eastAsia="仿宋_GB2312"/>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61B34D01">
      <w:pPr>
        <w:spacing w:line="560" w:lineRule="exact"/>
        <w:ind w:firstLine="640" w:firstLineChars="200"/>
        <w:rPr>
          <w:rFonts w:eastAsia="仿宋_GB2312"/>
          <w:sz w:val="32"/>
          <w:szCs w:val="32"/>
        </w:rPr>
      </w:pPr>
      <w:r>
        <w:rPr>
          <w:rFonts w:eastAsia="仿宋_GB2312"/>
          <w:sz w:val="32"/>
          <w:szCs w:val="32"/>
        </w:rPr>
        <w:t>（2）指标体系构建</w:t>
      </w:r>
    </w:p>
    <w:p w14:paraId="4AB11538">
      <w:pPr>
        <w:spacing w:line="560" w:lineRule="exact"/>
        <w:ind w:firstLine="640" w:firstLineChars="20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color w:val="000000"/>
          <w:spacing w:val="17"/>
          <w:sz w:val="32"/>
          <w:szCs w:val="32"/>
        </w:rPr>
        <w:t>项目决策、项目过程、项目产出、项目效益四个维度</w:t>
      </w:r>
      <w:r>
        <w:rPr>
          <w:rFonts w:eastAsia="仿宋_GB2312"/>
          <w:sz w:val="32"/>
          <w:szCs w:val="32"/>
        </w:rPr>
        <w:t>，选取了具有代表性和可衡量性的关键指标，并为每个指标设定了明确的评价标准与权重，确保评价结果能够全面、准确地反映项目的绩效状况。</w:t>
      </w:r>
    </w:p>
    <w:p w14:paraId="0AB499B7">
      <w:pPr>
        <w:spacing w:line="560" w:lineRule="exact"/>
        <w:ind w:firstLine="640" w:firstLineChars="200"/>
        <w:rPr>
          <w:rFonts w:eastAsia="仿宋_GB2312"/>
          <w:sz w:val="32"/>
          <w:szCs w:val="32"/>
        </w:rPr>
      </w:pPr>
      <w:r>
        <w:rPr>
          <w:rFonts w:eastAsia="仿宋_GB2312"/>
          <w:sz w:val="32"/>
          <w:szCs w:val="32"/>
        </w:rPr>
        <w:t>（3）数据收集与整理</w:t>
      </w:r>
    </w:p>
    <w:p w14:paraId="1D3D823A">
      <w:pPr>
        <w:spacing w:line="560" w:lineRule="exact"/>
        <w:ind w:firstLine="640" w:firstLineChars="200"/>
        <w:rPr>
          <w:rFonts w:eastAsia="仿宋_GB2312"/>
          <w:sz w:val="32"/>
          <w:szCs w:val="32"/>
        </w:rPr>
      </w:pPr>
      <w:r>
        <w:rPr>
          <w:rFonts w:eastAsia="仿宋_GB2312"/>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595973B5">
      <w:pPr>
        <w:spacing w:line="560" w:lineRule="exact"/>
        <w:ind w:firstLine="640" w:firstLineChars="200"/>
        <w:rPr>
          <w:rFonts w:eastAsia="仿宋_GB2312"/>
          <w:sz w:val="32"/>
          <w:szCs w:val="32"/>
        </w:rPr>
      </w:pPr>
      <w:r>
        <w:rPr>
          <w:rFonts w:eastAsia="仿宋_GB2312"/>
          <w:sz w:val="32"/>
          <w:szCs w:val="32"/>
        </w:rPr>
        <w:t>（4）数据分析与评估</w:t>
      </w:r>
    </w:p>
    <w:p w14:paraId="1A1B23ED">
      <w:pPr>
        <w:spacing w:line="560" w:lineRule="exact"/>
        <w:ind w:firstLine="640" w:firstLineChars="20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63328E72">
      <w:pPr>
        <w:spacing w:line="560" w:lineRule="exact"/>
        <w:ind w:firstLine="640" w:firstLineChars="200"/>
        <w:rPr>
          <w:rFonts w:eastAsia="仿宋_GB2312"/>
          <w:sz w:val="32"/>
          <w:szCs w:val="32"/>
        </w:rPr>
      </w:pPr>
      <w:r>
        <w:rPr>
          <w:rFonts w:eastAsia="仿宋_GB2312"/>
          <w:sz w:val="32"/>
          <w:szCs w:val="32"/>
        </w:rPr>
        <w:t>（5）报告撰写与反馈</w:t>
      </w:r>
    </w:p>
    <w:p w14:paraId="4D72AC8F">
      <w:pPr>
        <w:spacing w:line="560" w:lineRule="exact"/>
        <w:ind w:firstLine="640" w:firstLineChars="20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3354B63F">
      <w:pPr>
        <w:tabs>
          <w:tab w:val="left" w:pos="6300"/>
        </w:tabs>
        <w:spacing w:line="560" w:lineRule="exact"/>
        <w:ind w:firstLine="640" w:firstLineChars="200"/>
        <w:rPr>
          <w:rFonts w:eastAsia="仿宋_GB2312"/>
          <w:sz w:val="32"/>
          <w:szCs w:val="32"/>
        </w:rPr>
      </w:pPr>
      <w:r>
        <w:rPr>
          <w:rFonts w:eastAsia="仿宋_GB2312"/>
          <w:sz w:val="32"/>
          <w:szCs w:val="32"/>
        </w:rPr>
        <w:t>（6）后续跟踪与改进</w:t>
      </w:r>
    </w:p>
    <w:p w14:paraId="7A08964D">
      <w:pPr>
        <w:spacing w:line="560" w:lineRule="exact"/>
        <w:ind w:firstLine="640" w:firstLineChars="20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73048DC">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14:paraId="047D47ED">
      <w:pPr>
        <w:pStyle w:val="6"/>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（一）评价情况</w:t>
      </w:r>
    </w:p>
    <w:p w14:paraId="44D1CFF2">
      <w:pPr>
        <w:pStyle w:val="5"/>
        <w:widowControl/>
        <w:spacing w:beforeAutospacing="0" w:afterAutospacing="0" w:line="560" w:lineRule="exact"/>
        <w:ind w:firstLine="640" w:firstLineChars="200"/>
        <w:rPr>
          <w:rFonts w:eastAsia="仿宋_GB2312"/>
          <w:sz w:val="32"/>
          <w:szCs w:val="32"/>
          <w:highlight w:val="green"/>
        </w:rPr>
      </w:pPr>
      <w:r>
        <w:rPr>
          <w:rFonts w:eastAsia="仿宋_GB2312"/>
          <w:sz w:val="32"/>
          <w:szCs w:val="32"/>
        </w:rPr>
        <w:t>本项目的综合评价基于对项目各方面绩效的深入分析与评估。从项目目标的达成情况来看，</w:t>
      </w:r>
      <w:r>
        <w:rPr>
          <w:rFonts w:hint="eastAsia" w:eastAsia="仿宋_GB2312"/>
          <w:sz w:val="32"/>
          <w:szCs w:val="32"/>
        </w:rPr>
        <w:t>2024年政法委赴辽培训交通费在加强政法队伍建设、提高政法队伍整体业务素质等</w:t>
      </w:r>
      <w:r>
        <w:rPr>
          <w:rFonts w:eastAsia="仿宋_GB2312"/>
          <w:sz w:val="32"/>
          <w:szCs w:val="32"/>
        </w:rPr>
        <w:t>方面表现出色，达到了预期的标准与要求。同时，项目也在</w:t>
      </w:r>
      <w:r>
        <w:rPr>
          <w:rFonts w:hint="eastAsia" w:eastAsia="仿宋_GB2312"/>
          <w:sz w:val="32"/>
          <w:szCs w:val="32"/>
        </w:rPr>
        <w:t>资金节约方面</w:t>
      </w:r>
      <w:r>
        <w:rPr>
          <w:rFonts w:eastAsia="仿宋_GB2312"/>
          <w:sz w:val="32"/>
          <w:szCs w:val="32"/>
        </w:rPr>
        <w:t>取得了显著的成效，如</w:t>
      </w:r>
      <w:r>
        <w:rPr>
          <w:rFonts w:hint="eastAsia" w:eastAsia="仿宋_GB2312"/>
          <w:sz w:val="32"/>
          <w:szCs w:val="32"/>
        </w:rPr>
        <w:t>成本节约率</w:t>
      </w:r>
      <w:r>
        <w:rPr>
          <w:rFonts w:eastAsia="仿宋_GB2312"/>
          <w:sz w:val="32"/>
          <w:szCs w:val="32"/>
        </w:rPr>
        <w:t>等。</w:t>
      </w:r>
    </w:p>
    <w:p w14:paraId="737CEABA">
      <w:pPr>
        <w:pStyle w:val="5"/>
        <w:widowControl/>
        <w:spacing w:beforeAutospacing="0" w:afterAutospacing="0" w:line="560" w:lineRule="exact"/>
        <w:ind w:firstLine="640" w:firstLineChars="200"/>
        <w:rPr>
          <w:rFonts w:eastAsia="仿宋_GB2312"/>
          <w:sz w:val="32"/>
          <w:szCs w:val="32"/>
        </w:rPr>
      </w:pPr>
      <w:r>
        <w:rPr>
          <w:rFonts w:eastAsia="仿宋_GB2312"/>
          <w:sz w:val="32"/>
          <w:szCs w:val="32"/>
        </w:rPr>
        <w:t>在项目管理方面，中共托里县委政法委员会通过有效的规划、组织与协调，项目得以顺利实施，并在预算与时间上保持了良好的控制。</w:t>
      </w:r>
    </w:p>
    <w:p w14:paraId="19241C7A">
      <w:pPr>
        <w:pStyle w:val="5"/>
        <w:widowControl/>
        <w:spacing w:beforeAutospacing="0" w:afterAutospacing="0" w:line="560" w:lineRule="exact"/>
        <w:ind w:firstLine="640" w:firstLineChars="200"/>
        <w:rPr>
          <w:rFonts w:eastAsia="仿宋_GB2312"/>
          <w:sz w:val="32"/>
          <w:szCs w:val="32"/>
        </w:rPr>
      </w:pPr>
      <w:r>
        <w:rPr>
          <w:rFonts w:eastAsia="仿宋_GB2312"/>
          <w:sz w:val="32"/>
          <w:szCs w:val="32"/>
        </w:rPr>
        <w:t>从项目效益的角度来看，本项目不仅实现了预期的</w:t>
      </w:r>
      <w:r>
        <w:rPr>
          <w:rFonts w:hint="eastAsia" w:eastAsia="仿宋_GB2312"/>
          <w:sz w:val="32"/>
          <w:szCs w:val="32"/>
        </w:rPr>
        <w:t>社会效益</w:t>
      </w:r>
      <w:r>
        <w:rPr>
          <w:rFonts w:eastAsia="仿宋_GB2312"/>
          <w:sz w:val="32"/>
          <w:szCs w:val="32"/>
        </w:rPr>
        <w:t>方面产生了积极的影响。具体而言，</w:t>
      </w:r>
      <w:r>
        <w:rPr>
          <w:rFonts w:hint="eastAsia" w:eastAsia="仿宋_GB2312"/>
          <w:sz w:val="32"/>
          <w:szCs w:val="32"/>
        </w:rPr>
        <w:t>政法队伍整体业务素质</w:t>
      </w:r>
      <w:r>
        <w:rPr>
          <w:rFonts w:eastAsia="仿宋_GB2312"/>
          <w:sz w:val="32"/>
          <w:szCs w:val="32"/>
        </w:rPr>
        <w:t>方面的提升，为项目的利益相关者带来了实实在在的利益。</w:t>
      </w:r>
    </w:p>
    <w:p w14:paraId="2EB88E36">
      <w:pPr>
        <w:pStyle w:val="5"/>
        <w:widowControl/>
        <w:spacing w:beforeAutospacing="0" w:afterAutospacing="0" w:line="560" w:lineRule="exact"/>
        <w:ind w:firstLine="640" w:firstLineChars="200"/>
      </w:pPr>
      <w:r>
        <w:rPr>
          <w:rFonts w:eastAsia="仿宋_GB2312"/>
          <w:sz w:val="32"/>
          <w:szCs w:val="32"/>
        </w:rPr>
        <w:t>综上所述，</w:t>
      </w:r>
      <w:r>
        <w:rPr>
          <w:rFonts w:hint="eastAsia" w:eastAsia="仿宋_GB2312"/>
          <w:sz w:val="32"/>
          <w:szCs w:val="32"/>
        </w:rPr>
        <w:t>2024年政法委赴辽培训费项目</w:t>
      </w:r>
      <w:r>
        <w:rPr>
          <w:rFonts w:eastAsia="仿宋_GB2312"/>
          <w:sz w:val="32"/>
          <w:szCs w:val="32"/>
        </w:rPr>
        <w:t>在绩效评价中表现出色，达到了项目的预期目标，并在多个方面取得了显著的成效。</w:t>
      </w:r>
    </w:p>
    <w:p w14:paraId="5F238198">
      <w:pPr>
        <w:pStyle w:val="6"/>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（二）评价结论</w:t>
      </w:r>
    </w:p>
    <w:p w14:paraId="36AF446A">
      <w:pPr>
        <w:pStyle w:val="6"/>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w:t>
      </w:r>
      <w:r>
        <w:rPr>
          <w:rFonts w:ascii="Times New Roman" w:hAnsi="Times New Roman" w:eastAsia="仿宋_GB2312"/>
          <w:b w:val="0"/>
          <w:bCs w:val="0"/>
          <w:highlight w:val="none"/>
        </w:rPr>
        <w:t xml:space="preserve">结果：总得分为 </w:t>
      </w:r>
      <w:r>
        <w:rPr>
          <w:rFonts w:hint="eastAsia" w:ascii="Times New Roman" w:hAnsi="Times New Roman" w:eastAsia="仿宋_GB2312"/>
          <w:b w:val="0"/>
          <w:bCs w:val="0"/>
          <w:highlight w:val="none"/>
          <w:lang w:val="en-US" w:eastAsia="zh-CN"/>
        </w:rPr>
        <w:t>98.</w:t>
      </w:r>
      <w:r>
        <w:rPr>
          <w:rFonts w:hint="eastAsia" w:ascii="Times New Roman" w:hAnsi="Times New Roman" w:eastAsia="仿宋_GB2312"/>
          <w:b w:val="0"/>
          <w:bCs w:val="0"/>
          <w:highlight w:val="none"/>
        </w:rPr>
        <w:t>2</w:t>
      </w:r>
      <w:r>
        <w:rPr>
          <w:rFonts w:ascii="Times New Roman" w:hAnsi="Times New Roman" w:eastAsia="仿宋_GB2312"/>
          <w:b w:val="0"/>
          <w:bCs w:val="0"/>
          <w:highlight w:val="none"/>
        </w:rPr>
        <w:t xml:space="preserve">分，属于“优”。其中，项目决策类指标权重为20分，得分为 </w:t>
      </w:r>
      <w:r>
        <w:rPr>
          <w:rFonts w:hint="eastAsia" w:ascii="Times New Roman" w:hAnsi="Times New Roman" w:eastAsia="仿宋_GB2312"/>
          <w:b w:val="0"/>
          <w:bCs w:val="0"/>
          <w:highlight w:val="none"/>
          <w:lang w:val="en-US" w:eastAsia="zh-CN"/>
        </w:rPr>
        <w:t>19</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95</w:t>
      </w:r>
      <w:r>
        <w:rPr>
          <w:rFonts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19.12</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95.6</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lang w:val="en-US" w:eastAsia="zh-CN"/>
        </w:rPr>
        <w:t>4</w:t>
      </w:r>
      <w:r>
        <w:rPr>
          <w:rFonts w:hint="eastAsia" w:ascii="Times New Roman" w:hAnsi="Times New Roman" w:eastAsia="仿宋_GB2312"/>
          <w:b w:val="0"/>
          <w:bCs w:val="0"/>
          <w:highlight w:val="none"/>
        </w:rPr>
        <w:t>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rPr>
        <w:t>100</w:t>
      </w:r>
      <w:r>
        <w:rPr>
          <w:rFonts w:ascii="Times New Roman" w:hAnsi="Times New Roman" w:eastAsia="仿宋_GB2312"/>
          <w:b w:val="0"/>
          <w:bCs w:val="0"/>
          <w:highlight w:val="none"/>
        </w:rPr>
        <w:t>%。具体打分情况详见：附</w:t>
      </w:r>
      <w:r>
        <w:rPr>
          <w:rFonts w:ascii="Times New Roman" w:hAnsi="Times New Roman" w:eastAsia="仿宋_GB2312"/>
          <w:b w:val="0"/>
          <w:bCs w:val="0"/>
        </w:rPr>
        <w:t>件1综合评分表。</w:t>
      </w:r>
    </w:p>
    <w:p w14:paraId="3436F24A">
      <w:pPr>
        <w:pStyle w:val="6"/>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9"/>
        <w:tblW w:w="4998" w:type="pct"/>
        <w:jc w:val="center"/>
        <w:tblLayout w:type="autofit"/>
        <w:tblCellMar>
          <w:top w:w="0" w:type="dxa"/>
          <w:left w:w="108" w:type="dxa"/>
          <w:bottom w:w="0" w:type="dxa"/>
          <w:right w:w="108" w:type="dxa"/>
        </w:tblCellMar>
      </w:tblPr>
      <w:tblGrid>
        <w:gridCol w:w="2711"/>
        <w:gridCol w:w="1874"/>
        <w:gridCol w:w="1967"/>
        <w:gridCol w:w="1967"/>
      </w:tblGrid>
      <w:tr w14:paraId="09090E15">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vAlign w:val="center"/>
          </w:tcPr>
          <w:p w14:paraId="3C9A7CCF">
            <w:pPr>
              <w:jc w:val="center"/>
              <w:rPr>
                <w:rFonts w:eastAsia="仿宋_GB2312"/>
                <w:b/>
                <w:bCs/>
                <w:color w:val="000000"/>
                <w:szCs w:val="21"/>
              </w:rPr>
            </w:pPr>
            <w:r>
              <w:rPr>
                <w:rFonts w:eastAsia="仿宋_GB2312"/>
                <w:b/>
                <w:bCs/>
                <w:color w:val="000000"/>
                <w:szCs w:val="21"/>
              </w:rPr>
              <w:t>一级指标</w:t>
            </w:r>
          </w:p>
        </w:tc>
        <w:tc>
          <w:tcPr>
            <w:tcW w:w="1099" w:type="pct"/>
            <w:tcBorders>
              <w:top w:val="single" w:color="auto" w:sz="4" w:space="0"/>
              <w:left w:val="nil"/>
              <w:bottom w:val="single" w:color="auto" w:sz="4" w:space="0"/>
              <w:right w:val="single" w:color="auto" w:sz="4" w:space="0"/>
            </w:tcBorders>
            <w:shd w:val="clear" w:color="000000" w:fill="BEBEBE"/>
            <w:vAlign w:val="center"/>
          </w:tcPr>
          <w:p w14:paraId="291D5C5F">
            <w:pPr>
              <w:jc w:val="center"/>
              <w:rPr>
                <w:rFonts w:eastAsia="仿宋_GB2312"/>
                <w:b/>
                <w:bCs/>
                <w:color w:val="000000"/>
                <w:szCs w:val="21"/>
              </w:rPr>
            </w:pPr>
            <w:r>
              <w:rPr>
                <w:rFonts w:eastAsia="仿宋_GB2312"/>
                <w:b/>
                <w:bCs/>
                <w:color w:val="000000"/>
                <w:szCs w:val="21"/>
              </w:rPr>
              <w:t>权重分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180119BE">
            <w:pPr>
              <w:jc w:val="center"/>
              <w:rPr>
                <w:rFonts w:eastAsia="仿宋_GB2312"/>
                <w:b/>
                <w:bCs/>
                <w:color w:val="000000"/>
                <w:szCs w:val="21"/>
              </w:rPr>
            </w:pPr>
            <w:r>
              <w:rPr>
                <w:rFonts w:eastAsia="仿宋_GB2312"/>
                <w:b/>
                <w:bCs/>
                <w:color w:val="000000"/>
                <w:szCs w:val="21"/>
              </w:rPr>
              <w:t>得分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522B7B42">
            <w:pPr>
              <w:jc w:val="center"/>
              <w:rPr>
                <w:rFonts w:eastAsia="仿宋_GB2312"/>
                <w:b/>
                <w:bCs/>
                <w:color w:val="000000"/>
                <w:szCs w:val="21"/>
              </w:rPr>
            </w:pPr>
            <w:r>
              <w:rPr>
                <w:rFonts w:hint="eastAsia" w:eastAsia="仿宋_GB2312"/>
                <w:b/>
                <w:bCs/>
                <w:color w:val="000000"/>
                <w:szCs w:val="21"/>
              </w:rPr>
              <w:t>得分率</w:t>
            </w:r>
          </w:p>
        </w:tc>
      </w:tr>
      <w:tr w14:paraId="249485F4">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0B660CEE">
            <w:pPr>
              <w:jc w:val="center"/>
              <w:rPr>
                <w:rFonts w:eastAsia="仿宋_GB2312"/>
                <w:color w:val="000000"/>
                <w:szCs w:val="21"/>
              </w:rPr>
            </w:pPr>
            <w:r>
              <w:rPr>
                <w:rFonts w:eastAsia="仿宋_GB2312"/>
                <w:color w:val="000000"/>
                <w:szCs w:val="21"/>
              </w:rPr>
              <w:t>项目决策</w:t>
            </w:r>
          </w:p>
        </w:tc>
        <w:tc>
          <w:tcPr>
            <w:tcW w:w="1099" w:type="pct"/>
            <w:tcBorders>
              <w:top w:val="nil"/>
              <w:left w:val="nil"/>
              <w:bottom w:val="single" w:color="auto" w:sz="4" w:space="0"/>
              <w:right w:val="single" w:color="auto" w:sz="4" w:space="0"/>
            </w:tcBorders>
            <w:shd w:val="clear" w:color="auto" w:fill="auto"/>
            <w:vAlign w:val="center"/>
          </w:tcPr>
          <w:p w14:paraId="7DC6B5B2">
            <w:pPr>
              <w:jc w:val="center"/>
              <w:rPr>
                <w:rFonts w:eastAsia="仿宋_GB2312"/>
                <w:color w:val="000000"/>
                <w:szCs w:val="21"/>
              </w:rPr>
            </w:pPr>
            <w:r>
              <w:rPr>
                <w:rFonts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2DA4464F">
            <w:pPr>
              <w:jc w:val="center"/>
              <w:rPr>
                <w:rFonts w:hint="default" w:eastAsia="仿宋_GB2312"/>
                <w:color w:val="000000"/>
                <w:szCs w:val="21"/>
                <w:lang w:val="en-US" w:eastAsia="zh-CN"/>
              </w:rPr>
            </w:pPr>
            <w:r>
              <w:rPr>
                <w:rFonts w:hint="eastAsia" w:eastAsia="仿宋_GB2312"/>
                <w:color w:val="000000"/>
                <w:szCs w:val="21"/>
                <w:lang w:val="en-US" w:eastAsia="zh-CN"/>
              </w:rPr>
              <w:t>19</w:t>
            </w:r>
          </w:p>
        </w:tc>
        <w:tc>
          <w:tcPr>
            <w:tcW w:w="1154" w:type="pct"/>
            <w:tcBorders>
              <w:top w:val="nil"/>
              <w:left w:val="nil"/>
              <w:bottom w:val="single" w:color="auto" w:sz="4" w:space="0"/>
              <w:right w:val="single" w:color="auto" w:sz="4" w:space="0"/>
            </w:tcBorders>
            <w:shd w:val="clear" w:color="auto" w:fill="auto"/>
            <w:vAlign w:val="center"/>
          </w:tcPr>
          <w:p w14:paraId="36C6C373">
            <w:pPr>
              <w:jc w:val="center"/>
              <w:rPr>
                <w:rFonts w:eastAsia="仿宋_GB2312"/>
                <w:color w:val="000000"/>
                <w:szCs w:val="21"/>
              </w:rPr>
            </w:pPr>
            <w:r>
              <w:rPr>
                <w:rFonts w:hint="eastAsia" w:eastAsia="仿宋_GB2312"/>
                <w:color w:val="000000"/>
                <w:szCs w:val="21"/>
                <w:lang w:val="en-US" w:eastAsia="zh-CN"/>
              </w:rPr>
              <w:t>95</w:t>
            </w:r>
            <w:r>
              <w:rPr>
                <w:rFonts w:hint="eastAsia" w:eastAsia="仿宋_GB2312"/>
                <w:color w:val="000000"/>
                <w:szCs w:val="21"/>
              </w:rPr>
              <w:t>%</w:t>
            </w:r>
          </w:p>
        </w:tc>
      </w:tr>
      <w:tr w14:paraId="7B3D0D1A">
        <w:tblPrEx>
          <w:tblCellMar>
            <w:top w:w="0" w:type="dxa"/>
            <w:left w:w="108" w:type="dxa"/>
            <w:bottom w:w="0" w:type="dxa"/>
            <w:right w:w="108" w:type="dxa"/>
          </w:tblCellMar>
        </w:tblPrEx>
        <w:trPr>
          <w:trHeight w:val="332"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06E79F0E">
            <w:pPr>
              <w:jc w:val="center"/>
              <w:rPr>
                <w:rFonts w:eastAsia="仿宋_GB2312"/>
                <w:color w:val="000000"/>
                <w:szCs w:val="21"/>
              </w:rPr>
            </w:pPr>
            <w:r>
              <w:rPr>
                <w:rFonts w:eastAsia="仿宋_GB2312"/>
                <w:color w:val="000000"/>
                <w:szCs w:val="21"/>
              </w:rPr>
              <w:t>项目过程</w:t>
            </w:r>
          </w:p>
        </w:tc>
        <w:tc>
          <w:tcPr>
            <w:tcW w:w="1099" w:type="pct"/>
            <w:tcBorders>
              <w:top w:val="nil"/>
              <w:left w:val="nil"/>
              <w:bottom w:val="single" w:color="auto" w:sz="4" w:space="0"/>
              <w:right w:val="single" w:color="auto" w:sz="4" w:space="0"/>
            </w:tcBorders>
            <w:shd w:val="clear" w:color="auto" w:fill="auto"/>
            <w:vAlign w:val="center"/>
          </w:tcPr>
          <w:p w14:paraId="19897FB5">
            <w:pPr>
              <w:jc w:val="center"/>
              <w:rPr>
                <w:rFonts w:eastAsia="仿宋_GB2312"/>
                <w:color w:val="000000"/>
                <w:szCs w:val="21"/>
              </w:rPr>
            </w:pPr>
            <w:r>
              <w:rPr>
                <w:rFonts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20F088C0">
            <w:pPr>
              <w:jc w:val="center"/>
              <w:rPr>
                <w:rFonts w:hint="default" w:eastAsia="仿宋_GB2312"/>
                <w:color w:val="000000"/>
                <w:szCs w:val="21"/>
                <w:lang w:val="en-US" w:eastAsia="zh-CN"/>
              </w:rPr>
            </w:pPr>
            <w:r>
              <w:rPr>
                <w:rFonts w:hint="eastAsia" w:eastAsia="仿宋_GB2312"/>
                <w:color w:val="000000"/>
                <w:szCs w:val="21"/>
                <w:lang w:val="en-US" w:eastAsia="zh-CN"/>
              </w:rPr>
              <w:t>19.12</w:t>
            </w:r>
          </w:p>
        </w:tc>
        <w:tc>
          <w:tcPr>
            <w:tcW w:w="1154" w:type="pct"/>
            <w:tcBorders>
              <w:top w:val="nil"/>
              <w:left w:val="nil"/>
              <w:bottom w:val="single" w:color="auto" w:sz="4" w:space="0"/>
              <w:right w:val="single" w:color="auto" w:sz="4" w:space="0"/>
            </w:tcBorders>
            <w:shd w:val="clear" w:color="auto" w:fill="auto"/>
            <w:vAlign w:val="center"/>
          </w:tcPr>
          <w:p w14:paraId="7A8D0E8E">
            <w:pPr>
              <w:jc w:val="center"/>
              <w:rPr>
                <w:rFonts w:eastAsia="仿宋_GB2312"/>
                <w:color w:val="000000"/>
                <w:szCs w:val="21"/>
              </w:rPr>
            </w:pPr>
            <w:r>
              <w:rPr>
                <w:rFonts w:hint="eastAsia" w:eastAsia="仿宋_GB2312"/>
                <w:color w:val="000000"/>
                <w:szCs w:val="21"/>
                <w:lang w:val="en-US" w:eastAsia="zh-CN"/>
              </w:rPr>
              <w:t>95.6</w:t>
            </w:r>
            <w:r>
              <w:rPr>
                <w:rFonts w:hint="eastAsia" w:eastAsia="仿宋_GB2312"/>
                <w:color w:val="000000"/>
                <w:szCs w:val="21"/>
              </w:rPr>
              <w:t>%</w:t>
            </w:r>
          </w:p>
        </w:tc>
      </w:tr>
      <w:tr w14:paraId="09E68771">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0A30F167">
            <w:pPr>
              <w:jc w:val="center"/>
              <w:rPr>
                <w:rFonts w:eastAsia="仿宋_GB2312"/>
                <w:color w:val="000000"/>
                <w:szCs w:val="21"/>
              </w:rPr>
            </w:pPr>
            <w:r>
              <w:rPr>
                <w:rFonts w:eastAsia="仿宋_GB2312"/>
                <w:color w:val="000000"/>
                <w:szCs w:val="21"/>
              </w:rPr>
              <w:t>项目产出</w:t>
            </w:r>
          </w:p>
        </w:tc>
        <w:tc>
          <w:tcPr>
            <w:tcW w:w="1099" w:type="pct"/>
            <w:tcBorders>
              <w:top w:val="nil"/>
              <w:left w:val="nil"/>
              <w:bottom w:val="single" w:color="auto" w:sz="4" w:space="0"/>
              <w:right w:val="single" w:color="auto" w:sz="4" w:space="0"/>
            </w:tcBorders>
            <w:shd w:val="clear" w:color="auto" w:fill="auto"/>
            <w:vAlign w:val="center"/>
          </w:tcPr>
          <w:p w14:paraId="5E67EE0B">
            <w:pPr>
              <w:jc w:val="center"/>
              <w:rPr>
                <w:rFonts w:hint="default" w:eastAsia="仿宋_GB2312"/>
                <w:color w:val="000000"/>
                <w:szCs w:val="21"/>
                <w:lang w:val="en-US" w:eastAsia="zh-CN"/>
              </w:rPr>
            </w:pPr>
            <w:r>
              <w:rPr>
                <w:rFonts w:hint="eastAsia" w:eastAsia="仿宋_GB2312"/>
                <w:color w:val="000000"/>
                <w:szCs w:val="21"/>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528CD89E">
            <w:pPr>
              <w:jc w:val="center"/>
              <w:rPr>
                <w:rFonts w:hint="default" w:eastAsia="仿宋_GB2312"/>
                <w:color w:val="000000"/>
                <w:szCs w:val="21"/>
                <w:lang w:val="en-US" w:eastAsia="zh-CN"/>
              </w:rPr>
            </w:pPr>
            <w:r>
              <w:rPr>
                <w:rFonts w:hint="eastAsia" w:eastAsia="仿宋_GB2312"/>
                <w:color w:val="000000"/>
                <w:szCs w:val="21"/>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1FE78A55">
            <w:pPr>
              <w:jc w:val="center"/>
              <w:rPr>
                <w:rFonts w:eastAsia="仿宋_GB2312"/>
                <w:color w:val="000000"/>
                <w:szCs w:val="21"/>
              </w:rPr>
            </w:pPr>
            <w:r>
              <w:rPr>
                <w:rFonts w:hint="eastAsia" w:eastAsia="仿宋_GB2312"/>
                <w:color w:val="000000"/>
                <w:szCs w:val="21"/>
                <w:lang w:val="en-US" w:eastAsia="zh-CN"/>
              </w:rPr>
              <w:t>100</w:t>
            </w:r>
            <w:r>
              <w:rPr>
                <w:rFonts w:hint="eastAsia" w:eastAsia="仿宋_GB2312"/>
                <w:color w:val="000000"/>
                <w:szCs w:val="21"/>
              </w:rPr>
              <w:t>%</w:t>
            </w:r>
          </w:p>
        </w:tc>
      </w:tr>
      <w:tr w14:paraId="75D0345D">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23BC2D62">
            <w:pPr>
              <w:jc w:val="center"/>
              <w:rPr>
                <w:rFonts w:eastAsia="仿宋_GB2312"/>
                <w:color w:val="000000"/>
                <w:szCs w:val="21"/>
              </w:rPr>
            </w:pPr>
            <w:r>
              <w:rPr>
                <w:rFonts w:eastAsia="仿宋_GB2312"/>
                <w:color w:val="000000"/>
                <w:szCs w:val="21"/>
              </w:rPr>
              <w:t>项目效益</w:t>
            </w:r>
          </w:p>
        </w:tc>
        <w:tc>
          <w:tcPr>
            <w:tcW w:w="1099" w:type="pct"/>
            <w:tcBorders>
              <w:top w:val="nil"/>
              <w:left w:val="nil"/>
              <w:bottom w:val="single" w:color="auto" w:sz="4" w:space="0"/>
              <w:right w:val="single" w:color="auto" w:sz="4" w:space="0"/>
            </w:tcBorders>
            <w:shd w:val="clear" w:color="auto" w:fill="auto"/>
            <w:vAlign w:val="center"/>
          </w:tcPr>
          <w:p w14:paraId="0F80C3DB">
            <w:pPr>
              <w:jc w:val="center"/>
              <w:rPr>
                <w:rFonts w:hint="default" w:eastAsia="仿宋_GB2312"/>
                <w:color w:val="000000"/>
                <w:szCs w:val="21"/>
                <w:lang w:val="en-US" w:eastAsia="zh-CN"/>
              </w:rPr>
            </w:pPr>
            <w:r>
              <w:rPr>
                <w:rFonts w:hint="eastAsia" w:eastAsia="仿宋_GB2312"/>
                <w:color w:val="000000"/>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5E0228BC">
            <w:pPr>
              <w:jc w:val="center"/>
              <w:rPr>
                <w:rFonts w:hint="default" w:eastAsia="仿宋_GB2312"/>
                <w:color w:val="000000"/>
                <w:szCs w:val="21"/>
                <w:lang w:val="en-US" w:eastAsia="zh-CN"/>
              </w:rPr>
            </w:pPr>
            <w:r>
              <w:rPr>
                <w:rFonts w:hint="eastAsia" w:eastAsia="仿宋_GB2312"/>
                <w:color w:val="000000"/>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5AA86AB1">
            <w:pPr>
              <w:jc w:val="center"/>
              <w:rPr>
                <w:rFonts w:eastAsia="仿宋_GB2312"/>
                <w:color w:val="000000"/>
                <w:szCs w:val="21"/>
              </w:rPr>
            </w:pPr>
            <w:r>
              <w:rPr>
                <w:rFonts w:hint="eastAsia" w:eastAsia="仿宋_GB2312"/>
                <w:color w:val="000000"/>
                <w:szCs w:val="21"/>
              </w:rPr>
              <w:t>100%</w:t>
            </w:r>
          </w:p>
        </w:tc>
      </w:tr>
      <w:tr w14:paraId="34463661">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1AF17A38">
            <w:pPr>
              <w:jc w:val="center"/>
              <w:rPr>
                <w:rFonts w:eastAsia="仿宋_GB2312"/>
                <w:b/>
                <w:bCs/>
                <w:color w:val="000000"/>
                <w:szCs w:val="21"/>
              </w:rPr>
            </w:pPr>
            <w:r>
              <w:rPr>
                <w:rFonts w:eastAsia="仿宋_GB2312"/>
                <w:b/>
                <w:bCs/>
                <w:color w:val="000000"/>
                <w:szCs w:val="21"/>
              </w:rPr>
              <w:t>合计</w:t>
            </w:r>
          </w:p>
        </w:tc>
        <w:tc>
          <w:tcPr>
            <w:tcW w:w="1099" w:type="pct"/>
            <w:tcBorders>
              <w:top w:val="nil"/>
              <w:left w:val="nil"/>
              <w:bottom w:val="single" w:color="auto" w:sz="4" w:space="0"/>
              <w:right w:val="single" w:color="auto" w:sz="4" w:space="0"/>
            </w:tcBorders>
            <w:shd w:val="clear" w:color="auto" w:fill="auto"/>
            <w:vAlign w:val="center"/>
          </w:tcPr>
          <w:p w14:paraId="11003503">
            <w:pPr>
              <w:jc w:val="center"/>
              <w:rPr>
                <w:rFonts w:hint="default" w:eastAsia="仿宋_GB2312"/>
                <w:b/>
                <w:bCs/>
                <w:color w:val="000000"/>
                <w:szCs w:val="21"/>
                <w:lang w:val="en-US" w:eastAsia="zh-CN"/>
              </w:rPr>
            </w:pPr>
            <w:r>
              <w:rPr>
                <w:rFonts w:hint="eastAsia" w:eastAsia="仿宋_GB2312"/>
                <w:b/>
                <w:bCs/>
                <w:color w:val="000000"/>
                <w:szCs w:val="21"/>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37070B8C">
            <w:pPr>
              <w:jc w:val="center"/>
              <w:rPr>
                <w:rFonts w:hint="default" w:eastAsia="仿宋_GB2312"/>
                <w:b/>
                <w:bCs/>
                <w:color w:val="000000"/>
                <w:szCs w:val="21"/>
                <w:lang w:val="en-US" w:eastAsia="zh-CN"/>
              </w:rPr>
            </w:pPr>
            <w:r>
              <w:rPr>
                <w:rFonts w:hint="eastAsia" w:eastAsia="仿宋_GB2312"/>
                <w:b/>
                <w:bCs/>
                <w:color w:val="000000"/>
                <w:szCs w:val="21"/>
                <w:lang w:val="en-US" w:eastAsia="zh-CN"/>
              </w:rPr>
              <w:t>98.2</w:t>
            </w:r>
          </w:p>
        </w:tc>
        <w:tc>
          <w:tcPr>
            <w:tcW w:w="1154" w:type="pct"/>
            <w:tcBorders>
              <w:top w:val="nil"/>
              <w:left w:val="nil"/>
              <w:bottom w:val="single" w:color="auto" w:sz="4" w:space="0"/>
              <w:right w:val="single" w:color="auto" w:sz="4" w:space="0"/>
            </w:tcBorders>
            <w:shd w:val="clear" w:color="auto" w:fill="auto"/>
            <w:vAlign w:val="center"/>
          </w:tcPr>
          <w:p w14:paraId="7DECDC23">
            <w:pPr>
              <w:jc w:val="center"/>
              <w:rPr>
                <w:rFonts w:hint="default" w:eastAsia="仿宋_GB2312"/>
                <w:b/>
                <w:bCs/>
                <w:color w:val="000000"/>
                <w:szCs w:val="21"/>
                <w:lang w:val="en-US" w:eastAsia="zh-CN"/>
              </w:rPr>
            </w:pPr>
            <w:r>
              <w:rPr>
                <w:rFonts w:hint="eastAsia" w:eastAsia="仿宋_GB2312"/>
                <w:b/>
                <w:bCs/>
                <w:color w:val="000000"/>
                <w:szCs w:val="21"/>
                <w:lang w:val="en-US" w:eastAsia="zh-CN"/>
              </w:rPr>
              <w:t>98.2</w:t>
            </w:r>
          </w:p>
        </w:tc>
      </w:tr>
    </w:tbl>
    <w:p w14:paraId="049122F9">
      <w:pPr>
        <w:spacing w:line="560" w:lineRule="exact"/>
        <w:ind w:firstLine="640" w:firstLineChars="200"/>
        <w:rPr>
          <w:rFonts w:eastAsia="黑体"/>
          <w:sz w:val="32"/>
          <w:szCs w:val="32"/>
        </w:rPr>
      </w:pPr>
      <w:r>
        <w:rPr>
          <w:rFonts w:eastAsia="黑体"/>
          <w:sz w:val="32"/>
          <w:szCs w:val="32"/>
        </w:rPr>
        <w:t>四、绩效评价指标分析</w:t>
      </w:r>
    </w:p>
    <w:p w14:paraId="0E151177">
      <w:pPr>
        <w:pStyle w:val="6"/>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3676C838">
      <w:pPr>
        <w:spacing w:line="600" w:lineRule="exact"/>
        <w:ind w:firstLine="640" w:firstLineChars="200"/>
        <w:outlineLvl w:val="0"/>
        <w:rPr>
          <w:rFonts w:eastAsia="仿宋_GB2312"/>
          <w:sz w:val="32"/>
          <w:szCs w:val="32"/>
          <w:highlight w:val="none"/>
        </w:rPr>
      </w:pPr>
      <w:r>
        <w:rPr>
          <w:rFonts w:eastAsia="仿宋_GB2312"/>
          <w:sz w:val="32"/>
          <w:szCs w:val="32"/>
        </w:rPr>
        <w:t>项目决策类指标包括项目立项、绩效目标和资金投入三方面的内</w:t>
      </w:r>
      <w:r>
        <w:rPr>
          <w:rFonts w:eastAsia="仿宋_GB2312"/>
          <w:sz w:val="32"/>
          <w:szCs w:val="32"/>
          <w:highlight w:val="none"/>
        </w:rPr>
        <w:t>容，由6个三级指标构成，权重分值为</w:t>
      </w:r>
      <w:r>
        <w:rPr>
          <w:rFonts w:hint="eastAsia" w:eastAsia="仿宋_GB2312"/>
          <w:sz w:val="32"/>
          <w:szCs w:val="32"/>
          <w:highlight w:val="none"/>
          <w:lang w:val="en-US" w:eastAsia="zh-CN"/>
        </w:rPr>
        <w:t>20</w:t>
      </w:r>
      <w:r>
        <w:rPr>
          <w:rFonts w:eastAsia="仿宋_GB2312"/>
          <w:sz w:val="32"/>
          <w:szCs w:val="32"/>
          <w:highlight w:val="none"/>
        </w:rPr>
        <w:t>分，实际得分</w:t>
      </w:r>
      <w:r>
        <w:rPr>
          <w:rFonts w:hint="eastAsia" w:eastAsia="仿宋_GB2312"/>
          <w:sz w:val="32"/>
          <w:szCs w:val="32"/>
          <w:highlight w:val="none"/>
          <w:lang w:val="en-US" w:eastAsia="zh-CN"/>
        </w:rPr>
        <w:t>19</w:t>
      </w:r>
      <w:r>
        <w:rPr>
          <w:rFonts w:eastAsia="仿宋_GB2312"/>
          <w:sz w:val="32"/>
          <w:szCs w:val="32"/>
          <w:highlight w:val="none"/>
        </w:rPr>
        <w:t>分，得分率为</w:t>
      </w:r>
      <w:r>
        <w:rPr>
          <w:rFonts w:hint="eastAsia" w:eastAsia="仿宋_GB2312"/>
          <w:sz w:val="32"/>
          <w:szCs w:val="32"/>
          <w:highlight w:val="none"/>
          <w:lang w:val="en-US" w:eastAsia="zh-CN"/>
        </w:rPr>
        <w:t>95</w:t>
      </w:r>
      <w:r>
        <w:rPr>
          <w:rFonts w:eastAsia="仿宋_GB2312"/>
          <w:sz w:val="32"/>
          <w:szCs w:val="32"/>
          <w:highlight w:val="none"/>
        </w:rPr>
        <w:t>%。</w:t>
      </w:r>
    </w:p>
    <w:p w14:paraId="5E5F8181">
      <w:pPr>
        <w:pStyle w:val="13"/>
        <w:spacing w:line="560" w:lineRule="exact"/>
        <w:ind w:firstLine="640"/>
        <w:rPr>
          <w:rFonts w:eastAsia="仿宋_GB2312"/>
          <w:b/>
          <w:bCs/>
          <w:sz w:val="32"/>
          <w:szCs w:val="32"/>
        </w:rPr>
      </w:pPr>
      <w:r>
        <w:rPr>
          <w:rFonts w:eastAsia="仿宋_GB2312"/>
          <w:b/>
          <w:bCs/>
          <w:sz w:val="32"/>
          <w:szCs w:val="32"/>
        </w:rPr>
        <w:t>1.项目立项</w:t>
      </w:r>
    </w:p>
    <w:p w14:paraId="17F32396">
      <w:pPr>
        <w:spacing w:line="600" w:lineRule="exact"/>
        <w:ind w:firstLine="640" w:firstLineChars="200"/>
        <w:outlineLvl w:val="0"/>
        <w:rPr>
          <w:rFonts w:eastAsia="仿宋_GB2312"/>
          <w:sz w:val="32"/>
          <w:szCs w:val="32"/>
        </w:rPr>
      </w:pPr>
      <w:r>
        <w:rPr>
          <w:rFonts w:eastAsia="仿宋_GB2312"/>
          <w:sz w:val="32"/>
          <w:szCs w:val="32"/>
        </w:rPr>
        <w:t>（1）立项依据充分性</w:t>
      </w:r>
    </w:p>
    <w:p w14:paraId="4736F72F">
      <w:pPr>
        <w:spacing w:line="600" w:lineRule="exact"/>
        <w:ind w:firstLine="640" w:firstLineChars="200"/>
        <w:outlineLvl w:val="0"/>
        <w:rPr>
          <w:rFonts w:eastAsia="仿宋_GB2312"/>
          <w:sz w:val="32"/>
          <w:szCs w:val="32"/>
        </w:rPr>
      </w:pPr>
      <w:r>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284074EE">
      <w:pPr>
        <w:spacing w:line="600" w:lineRule="exact"/>
        <w:ind w:firstLine="640" w:firstLineChars="200"/>
        <w:outlineLvl w:val="0"/>
        <w:rPr>
          <w:rFonts w:eastAsia="仿宋_GB2312"/>
          <w:sz w:val="32"/>
          <w:szCs w:val="32"/>
        </w:rPr>
      </w:pPr>
      <w:r>
        <w:rPr>
          <w:rFonts w:eastAsia="仿宋_GB2312"/>
          <w:sz w:val="32"/>
          <w:szCs w:val="32"/>
        </w:rPr>
        <w:t>（2）立项程序规范性</w:t>
      </w:r>
    </w:p>
    <w:p w14:paraId="074A5045">
      <w:pPr>
        <w:spacing w:line="600" w:lineRule="exact"/>
        <w:ind w:firstLine="640" w:firstLineChars="200"/>
        <w:outlineLvl w:val="0"/>
        <w:rPr>
          <w:rFonts w:eastAsia="仿宋_GB2312"/>
          <w:sz w:val="32"/>
          <w:szCs w:val="32"/>
        </w:rPr>
      </w:pPr>
      <w:r>
        <w:rPr>
          <w:rFonts w:eastAsia="仿宋_GB2312"/>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0F00769A">
      <w:pPr>
        <w:pStyle w:val="13"/>
        <w:spacing w:line="560" w:lineRule="exact"/>
        <w:ind w:firstLine="640"/>
        <w:rPr>
          <w:rFonts w:eastAsia="仿宋_GB2312"/>
          <w:b/>
          <w:bCs/>
          <w:sz w:val="32"/>
          <w:szCs w:val="32"/>
        </w:rPr>
      </w:pPr>
      <w:r>
        <w:rPr>
          <w:rFonts w:eastAsia="仿宋_GB2312"/>
          <w:b/>
          <w:bCs/>
          <w:sz w:val="32"/>
          <w:szCs w:val="32"/>
        </w:rPr>
        <w:t>2.绩效目标</w:t>
      </w:r>
    </w:p>
    <w:p w14:paraId="3E08D030">
      <w:pPr>
        <w:spacing w:line="600" w:lineRule="exact"/>
        <w:ind w:firstLine="640" w:firstLineChars="200"/>
        <w:outlineLvl w:val="0"/>
        <w:rPr>
          <w:rFonts w:eastAsia="仿宋_GB2312"/>
          <w:sz w:val="32"/>
          <w:szCs w:val="32"/>
        </w:rPr>
      </w:pPr>
      <w:r>
        <w:rPr>
          <w:rFonts w:eastAsia="仿宋_GB2312"/>
          <w:sz w:val="32"/>
          <w:szCs w:val="32"/>
        </w:rPr>
        <w:t>（1）绩效目标合理性</w:t>
      </w:r>
    </w:p>
    <w:p w14:paraId="172C22BE">
      <w:pPr>
        <w:spacing w:line="600" w:lineRule="exact"/>
        <w:ind w:firstLine="640" w:firstLineChars="200"/>
        <w:outlineLvl w:val="0"/>
      </w:pPr>
      <w:r>
        <w:rPr>
          <w:rFonts w:eastAsia="仿宋_GB2312"/>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w:t>
      </w:r>
      <w:r>
        <w:rPr>
          <w:rFonts w:hint="eastAsia" w:eastAsia="仿宋_GB2312"/>
          <w:sz w:val="32"/>
          <w:szCs w:val="32"/>
        </w:rPr>
        <w:t>但</w:t>
      </w:r>
      <w:r>
        <w:rPr>
          <w:rFonts w:eastAsia="仿宋_GB2312"/>
          <w:sz w:val="32"/>
          <w:szCs w:val="32"/>
        </w:rPr>
        <w:t>绩效目标表经过审核</w:t>
      </w:r>
      <w:r>
        <w:rPr>
          <w:rFonts w:hint="eastAsia" w:eastAsia="仿宋_GB2312"/>
          <w:sz w:val="32"/>
          <w:szCs w:val="32"/>
        </w:rPr>
        <w:t>后发现，</w:t>
      </w:r>
      <w:r>
        <w:rPr>
          <w:rFonts w:eastAsia="仿宋_GB2312"/>
          <w:sz w:val="32"/>
          <w:szCs w:val="32"/>
        </w:rPr>
        <w:t>绩效目标</w:t>
      </w:r>
      <w:r>
        <w:rPr>
          <w:rFonts w:hint="eastAsia" w:eastAsia="仿宋_GB2312"/>
          <w:sz w:val="32"/>
          <w:szCs w:val="32"/>
        </w:rPr>
        <w:t>的满意度指标</w:t>
      </w:r>
      <w:r>
        <w:rPr>
          <w:rFonts w:eastAsia="仿宋_GB2312"/>
          <w:sz w:val="32"/>
          <w:szCs w:val="32"/>
        </w:rPr>
        <w:t>与实际工作内容</w:t>
      </w:r>
      <w:r>
        <w:rPr>
          <w:rFonts w:hint="eastAsia" w:eastAsia="仿宋_GB2312"/>
          <w:sz w:val="32"/>
          <w:szCs w:val="32"/>
        </w:rPr>
        <w:t>不</w:t>
      </w:r>
      <w:r>
        <w:rPr>
          <w:rFonts w:eastAsia="仿宋_GB2312"/>
          <w:sz w:val="32"/>
          <w:szCs w:val="32"/>
        </w:rPr>
        <w:t>具有相关性，预算与确定的项目投资额相匹配，对项目任务进行了详细分解。项目预期产出效益及效果符合正常的业绩水平。</w:t>
      </w:r>
    </w:p>
    <w:p w14:paraId="6FE537DB">
      <w:pPr>
        <w:spacing w:line="600" w:lineRule="exact"/>
        <w:ind w:firstLine="640" w:firstLineChars="200"/>
        <w:outlineLvl w:val="0"/>
        <w:rPr>
          <w:rFonts w:eastAsia="仿宋_GB2312"/>
          <w:sz w:val="32"/>
          <w:szCs w:val="32"/>
        </w:rPr>
      </w:pPr>
      <w:r>
        <w:rPr>
          <w:rFonts w:eastAsia="仿宋_GB2312"/>
          <w:sz w:val="32"/>
          <w:szCs w:val="32"/>
        </w:rPr>
        <w:t>（2）绩效指标明确性</w:t>
      </w:r>
    </w:p>
    <w:p w14:paraId="43290E14">
      <w:pPr>
        <w:spacing w:line="600" w:lineRule="exact"/>
        <w:ind w:firstLine="640" w:firstLineChars="20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51627CC0">
      <w:pPr>
        <w:pStyle w:val="13"/>
        <w:spacing w:line="560" w:lineRule="exact"/>
        <w:ind w:firstLine="640"/>
        <w:rPr>
          <w:rFonts w:eastAsia="仿宋_GB2312"/>
          <w:b/>
          <w:bCs/>
          <w:sz w:val="32"/>
          <w:szCs w:val="32"/>
        </w:rPr>
      </w:pPr>
      <w:r>
        <w:rPr>
          <w:rFonts w:eastAsia="仿宋_GB2312"/>
          <w:b/>
          <w:bCs/>
          <w:sz w:val="32"/>
          <w:szCs w:val="32"/>
        </w:rPr>
        <w:t>3.资金投入</w:t>
      </w:r>
    </w:p>
    <w:p w14:paraId="3D100481">
      <w:pPr>
        <w:spacing w:line="600" w:lineRule="exact"/>
        <w:ind w:firstLine="640" w:firstLineChars="200"/>
        <w:outlineLvl w:val="0"/>
        <w:rPr>
          <w:rFonts w:eastAsia="仿宋_GB2312"/>
          <w:sz w:val="32"/>
          <w:szCs w:val="32"/>
        </w:rPr>
      </w:pPr>
      <w:r>
        <w:rPr>
          <w:rFonts w:eastAsia="仿宋_GB2312"/>
          <w:sz w:val="32"/>
          <w:szCs w:val="32"/>
        </w:rPr>
        <w:t>（1）预算编制科学性</w:t>
      </w:r>
    </w:p>
    <w:p w14:paraId="31C888F3">
      <w:pPr>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4E0546FC">
      <w:pPr>
        <w:spacing w:line="600" w:lineRule="exact"/>
        <w:ind w:firstLine="640" w:firstLineChars="20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5E95106">
      <w:pPr>
        <w:spacing w:line="600" w:lineRule="exact"/>
        <w:ind w:firstLine="640" w:firstLineChars="200"/>
        <w:outlineLvl w:val="0"/>
        <w:rPr>
          <w:rFonts w:eastAsia="仿宋_GB2312"/>
          <w:sz w:val="32"/>
          <w:szCs w:val="32"/>
        </w:rPr>
      </w:pPr>
      <w:r>
        <w:rPr>
          <w:rFonts w:eastAsia="仿宋_GB2312"/>
          <w:sz w:val="32"/>
          <w:szCs w:val="32"/>
        </w:rPr>
        <w:t>（2）资金分配合理性</w:t>
      </w:r>
    </w:p>
    <w:p w14:paraId="03059CBC">
      <w:pPr>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05D3DA0">
      <w:pPr>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637A45C6">
      <w:pPr>
        <w:spacing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472992FB">
      <w:pPr>
        <w:pStyle w:val="6"/>
        <w:numPr>
          <w:ilvl w:val="0"/>
          <w:numId w:val="5"/>
        </w:numPr>
        <w:spacing w:before="0" w:after="0" w:line="560" w:lineRule="exact"/>
        <w:ind w:left="-643" w:leftChars="0" w:firstLine="643" w:firstLineChars="0"/>
        <w:jc w:val="both"/>
        <w:rPr>
          <w:rFonts w:ascii="Times New Roman" w:hAnsi="Times New Roman" w:eastAsia="楷体"/>
        </w:rPr>
      </w:pPr>
      <w:r>
        <w:rPr>
          <w:rFonts w:ascii="Times New Roman" w:hAnsi="Times New Roman" w:eastAsia="楷体"/>
        </w:rPr>
        <w:t>项目过程情况</w:t>
      </w:r>
    </w:p>
    <w:p w14:paraId="072F619B">
      <w:pPr>
        <w:spacing w:line="600" w:lineRule="exact"/>
        <w:ind w:firstLine="640" w:firstLineChars="200"/>
        <w:outlineLvl w:val="0"/>
        <w:rPr>
          <w:rFonts w:eastAsia="仿宋_GB2312"/>
          <w:sz w:val="32"/>
          <w:szCs w:val="32"/>
          <w:highlight w:val="none"/>
        </w:rPr>
      </w:pPr>
      <w:r>
        <w:rPr>
          <w:rFonts w:eastAsia="仿宋_GB2312"/>
          <w:sz w:val="32"/>
          <w:szCs w:val="32"/>
          <w:highlight w:val="none"/>
        </w:rPr>
        <w:t>项目过程类指标包括资金管理和组织实施两方面的内容，由</w:t>
      </w:r>
      <w:r>
        <w:rPr>
          <w:rFonts w:hint="eastAsia" w:eastAsia="仿宋_GB2312"/>
          <w:sz w:val="32"/>
          <w:szCs w:val="32"/>
          <w:highlight w:val="none"/>
          <w:lang w:val="en-US" w:eastAsia="zh-CN"/>
        </w:rPr>
        <w:t>5</w:t>
      </w:r>
      <w:r>
        <w:rPr>
          <w:rFonts w:eastAsia="仿宋_GB2312"/>
          <w:sz w:val="32"/>
          <w:szCs w:val="32"/>
          <w:highlight w:val="none"/>
        </w:rPr>
        <w:t>个三级指标构成，权重分值为</w:t>
      </w:r>
      <w:r>
        <w:rPr>
          <w:rFonts w:hint="eastAsia" w:eastAsia="仿宋_GB2312"/>
          <w:sz w:val="32"/>
          <w:szCs w:val="32"/>
          <w:highlight w:val="none"/>
          <w:lang w:val="en-US" w:eastAsia="zh-CN"/>
        </w:rPr>
        <w:t>20</w:t>
      </w:r>
      <w:r>
        <w:rPr>
          <w:rFonts w:eastAsia="仿宋_GB2312"/>
          <w:sz w:val="32"/>
          <w:szCs w:val="32"/>
          <w:highlight w:val="none"/>
        </w:rPr>
        <w:t>分，实际得分</w:t>
      </w:r>
      <w:r>
        <w:rPr>
          <w:rFonts w:hint="eastAsia" w:eastAsia="仿宋_GB2312"/>
          <w:sz w:val="32"/>
          <w:szCs w:val="32"/>
          <w:highlight w:val="none"/>
          <w:lang w:val="en-US" w:eastAsia="zh-CN"/>
        </w:rPr>
        <w:t>19.1</w:t>
      </w:r>
      <w:r>
        <w:rPr>
          <w:rFonts w:hint="eastAsia" w:eastAsia="仿宋_GB2312"/>
          <w:sz w:val="32"/>
          <w:szCs w:val="32"/>
          <w:highlight w:val="none"/>
        </w:rPr>
        <w:t>2</w:t>
      </w:r>
      <w:r>
        <w:rPr>
          <w:rFonts w:eastAsia="仿宋_GB2312"/>
          <w:sz w:val="32"/>
          <w:szCs w:val="32"/>
          <w:highlight w:val="none"/>
        </w:rPr>
        <w:t>分，得分率为</w:t>
      </w:r>
      <w:r>
        <w:rPr>
          <w:rFonts w:hint="eastAsia" w:eastAsia="仿宋_GB2312"/>
          <w:sz w:val="32"/>
          <w:szCs w:val="32"/>
          <w:highlight w:val="none"/>
          <w:lang w:val="en-US" w:eastAsia="zh-CN"/>
        </w:rPr>
        <w:t>95.6</w:t>
      </w:r>
      <w:r>
        <w:rPr>
          <w:rFonts w:eastAsia="仿宋_GB2312"/>
          <w:sz w:val="32"/>
          <w:szCs w:val="32"/>
          <w:highlight w:val="none"/>
        </w:rPr>
        <w:t>%。</w:t>
      </w:r>
    </w:p>
    <w:p w14:paraId="56C155B8">
      <w:pPr>
        <w:pStyle w:val="13"/>
        <w:spacing w:line="560" w:lineRule="exact"/>
        <w:ind w:firstLine="640"/>
        <w:rPr>
          <w:rFonts w:eastAsia="仿宋_GB2312"/>
          <w:b/>
          <w:bCs/>
          <w:sz w:val="32"/>
          <w:szCs w:val="32"/>
        </w:rPr>
      </w:pPr>
      <w:r>
        <w:rPr>
          <w:rFonts w:eastAsia="仿宋_GB2312"/>
          <w:b/>
          <w:bCs/>
          <w:sz w:val="32"/>
          <w:szCs w:val="32"/>
        </w:rPr>
        <w:t>1.资金管理</w:t>
      </w:r>
    </w:p>
    <w:p w14:paraId="4770FCFF">
      <w:pPr>
        <w:spacing w:line="600" w:lineRule="exact"/>
        <w:ind w:firstLine="640" w:firstLineChars="200"/>
        <w:outlineLvl w:val="0"/>
        <w:rPr>
          <w:rFonts w:eastAsia="仿宋_GB2312"/>
          <w:sz w:val="32"/>
          <w:szCs w:val="32"/>
        </w:rPr>
      </w:pPr>
      <w:r>
        <w:rPr>
          <w:rFonts w:eastAsia="仿宋_GB2312"/>
          <w:sz w:val="32"/>
          <w:szCs w:val="32"/>
        </w:rPr>
        <w:t>（1）资金到位率</w:t>
      </w:r>
    </w:p>
    <w:p w14:paraId="649A6855">
      <w:pPr>
        <w:spacing w:line="600" w:lineRule="exact"/>
        <w:ind w:firstLine="640" w:firstLineChars="200"/>
        <w:outlineLvl w:val="0"/>
        <w:rPr>
          <w:rFonts w:eastAsia="仿宋_GB2312"/>
          <w:sz w:val="32"/>
          <w:szCs w:val="32"/>
        </w:rPr>
      </w:pPr>
      <w:r>
        <w:rPr>
          <w:rFonts w:eastAsia="仿宋_GB2312"/>
          <w:sz w:val="32"/>
          <w:szCs w:val="32"/>
        </w:rPr>
        <w:t>本项目总投资</w:t>
      </w:r>
      <w:r>
        <w:rPr>
          <w:rFonts w:hint="eastAsia" w:eastAsia="仿宋_GB2312"/>
          <w:sz w:val="32"/>
          <w:szCs w:val="32"/>
        </w:rPr>
        <w:t>6</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14:paraId="29228568">
      <w:pPr>
        <w:spacing w:line="600" w:lineRule="exact"/>
        <w:ind w:firstLine="640" w:firstLineChars="200"/>
        <w:outlineLvl w:val="0"/>
        <w:rPr>
          <w:rFonts w:eastAsia="仿宋_GB2312"/>
          <w:sz w:val="32"/>
          <w:szCs w:val="32"/>
        </w:rPr>
      </w:pPr>
      <w:r>
        <w:rPr>
          <w:rFonts w:eastAsia="仿宋_GB2312"/>
          <w:sz w:val="32"/>
          <w:szCs w:val="32"/>
        </w:rPr>
        <w:t>（2）预算执行率</w:t>
      </w:r>
    </w:p>
    <w:p w14:paraId="0718BCA3">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rPr>
        <w:t>4.655</w:t>
      </w:r>
      <w:r>
        <w:rPr>
          <w:rFonts w:eastAsia="仿宋_GB2312"/>
          <w:sz w:val="32"/>
          <w:szCs w:val="32"/>
        </w:rPr>
        <w:t>万元，预算执行率为</w:t>
      </w:r>
      <w:r>
        <w:rPr>
          <w:rFonts w:hint="eastAsia" w:eastAsia="仿宋_GB2312"/>
          <w:sz w:val="32"/>
          <w:szCs w:val="32"/>
        </w:rPr>
        <w:t>77.67</w:t>
      </w:r>
      <w:r>
        <w:rPr>
          <w:rFonts w:eastAsia="仿宋_GB2312"/>
          <w:sz w:val="32"/>
          <w:szCs w:val="32"/>
        </w:rPr>
        <w:t>%。</w:t>
      </w:r>
    </w:p>
    <w:p w14:paraId="79264B15">
      <w:pPr>
        <w:spacing w:line="600" w:lineRule="exact"/>
        <w:ind w:firstLine="640" w:firstLineChars="200"/>
        <w:outlineLvl w:val="0"/>
        <w:rPr>
          <w:rFonts w:eastAsia="仿宋_GB2312"/>
          <w:sz w:val="32"/>
          <w:szCs w:val="32"/>
        </w:rPr>
      </w:pPr>
      <w:r>
        <w:rPr>
          <w:rFonts w:eastAsia="仿宋_GB2312"/>
          <w:sz w:val="32"/>
          <w:szCs w:val="32"/>
        </w:rPr>
        <w:t>（3）资金使用合规性</w:t>
      </w:r>
    </w:p>
    <w:p w14:paraId="0481506D">
      <w:pPr>
        <w:spacing w:line="560" w:lineRule="exact"/>
        <w:ind w:firstLine="640" w:firstLineChars="200"/>
        <w:rPr>
          <w:rFonts w:eastAsia="仿宋_GB2312"/>
          <w:sz w:val="32"/>
          <w:szCs w:val="32"/>
        </w:rPr>
      </w:pPr>
      <w:r>
        <w:rPr>
          <w:rFonts w:eastAsia="仿宋_GB2312"/>
          <w:sz w:val="32"/>
          <w:szCs w:val="32"/>
        </w:rPr>
        <w:t>本项目的资金使用严格遵循了国家相关法律法规与财务制度，确保了资金的合规性与安全性。在资金使用过程中，我们建立了完善的财务管理体系，对资金的流动进行了全程监控与记录。</w:t>
      </w:r>
    </w:p>
    <w:p w14:paraId="1BD13CE6">
      <w:pPr>
        <w:spacing w:line="560" w:lineRule="exact"/>
        <w:ind w:firstLine="640" w:firstLineChars="20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7A29C23C">
      <w:pPr>
        <w:spacing w:line="560" w:lineRule="exact"/>
        <w:ind w:firstLine="640" w:firstLineChars="20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083F0693">
      <w:pPr>
        <w:pStyle w:val="13"/>
        <w:spacing w:line="560" w:lineRule="exact"/>
        <w:ind w:firstLine="640"/>
        <w:rPr>
          <w:rFonts w:eastAsia="仿宋_GB2312"/>
          <w:b/>
          <w:bCs/>
          <w:sz w:val="32"/>
          <w:szCs w:val="32"/>
        </w:rPr>
      </w:pPr>
      <w:r>
        <w:rPr>
          <w:rFonts w:eastAsia="仿宋_GB2312"/>
          <w:b/>
          <w:bCs/>
          <w:sz w:val="32"/>
          <w:szCs w:val="32"/>
        </w:rPr>
        <w:t>2.组织实施</w:t>
      </w:r>
    </w:p>
    <w:p w14:paraId="6ACC5D7A">
      <w:pPr>
        <w:spacing w:line="600" w:lineRule="exact"/>
        <w:ind w:firstLine="640" w:firstLineChars="200"/>
        <w:outlineLvl w:val="0"/>
        <w:rPr>
          <w:rFonts w:eastAsia="仿宋_GB2312"/>
          <w:sz w:val="32"/>
          <w:szCs w:val="32"/>
        </w:rPr>
      </w:pPr>
      <w:r>
        <w:rPr>
          <w:rFonts w:eastAsia="仿宋_GB2312"/>
          <w:sz w:val="32"/>
          <w:szCs w:val="32"/>
        </w:rPr>
        <w:t>（1）管理制度健全性</w:t>
      </w:r>
    </w:p>
    <w:p w14:paraId="0F175A21">
      <w:pPr>
        <w:spacing w:line="560" w:lineRule="exact"/>
        <w:ind w:firstLine="640" w:firstLineChars="200"/>
        <w:rPr>
          <w:rFonts w:eastAsia="仿宋_GB2312"/>
          <w:sz w:val="32"/>
          <w:szCs w:val="32"/>
        </w:rPr>
      </w:pPr>
      <w:r>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55AAD3AA">
      <w:pPr>
        <w:spacing w:line="560" w:lineRule="exact"/>
        <w:ind w:firstLine="640" w:firstLineChars="200"/>
        <w:rPr>
          <w:rFonts w:eastAsia="仿宋_GB2312"/>
          <w:sz w:val="32"/>
          <w:szCs w:val="32"/>
        </w:rPr>
      </w:pPr>
      <w:r>
        <w:rPr>
          <w:rFonts w:eastAsia="仿宋_GB2312"/>
          <w:sz w:val="32"/>
          <w:szCs w:val="32"/>
        </w:rPr>
        <w:t>在制度设计上，我们注重了制度的科学性与可操作性，确保制度能够切实指导项目的执行与管理。</w:t>
      </w:r>
    </w:p>
    <w:p w14:paraId="6762F81C">
      <w:pPr>
        <w:spacing w:line="560" w:lineRule="exact"/>
        <w:ind w:firstLine="640" w:firstLineChars="20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851C6F9">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3020F2FC">
      <w:pPr>
        <w:spacing w:line="600" w:lineRule="exact"/>
        <w:ind w:firstLine="640" w:firstLineChars="200"/>
        <w:outlineLvl w:val="0"/>
        <w:rPr>
          <w:rFonts w:eastAsia="仿宋_GB2312"/>
          <w:sz w:val="32"/>
          <w:szCs w:val="32"/>
        </w:rPr>
      </w:pPr>
      <w:r>
        <w:rPr>
          <w:rFonts w:eastAsia="仿宋_GB2312"/>
          <w:sz w:val="32"/>
          <w:szCs w:val="32"/>
        </w:rPr>
        <w:t>（2）制度执行有效性</w:t>
      </w:r>
    </w:p>
    <w:p w14:paraId="29A490EF">
      <w:pPr>
        <w:spacing w:line="560" w:lineRule="exact"/>
        <w:ind w:firstLine="640" w:firstLineChars="20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44535F8D">
      <w:pPr>
        <w:spacing w:line="560" w:lineRule="exact"/>
        <w:ind w:firstLine="640" w:firstLineChars="20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6EA7B6FA">
      <w:pPr>
        <w:spacing w:line="560" w:lineRule="exact"/>
        <w:ind w:firstLine="640" w:firstLineChars="20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228B8DEB">
      <w:pPr>
        <w:pStyle w:val="7"/>
        <w:numPr>
          <w:ilvl w:val="0"/>
          <w:numId w:val="5"/>
        </w:numPr>
        <w:spacing w:line="560" w:lineRule="exact"/>
        <w:ind w:left="-643" w:leftChars="0" w:firstLine="643" w:firstLineChars="0"/>
        <w:rPr>
          <w:rFonts w:eastAsia="楷体_GB2312"/>
          <w:b/>
          <w:bCs/>
          <w:sz w:val="32"/>
          <w:szCs w:val="32"/>
        </w:rPr>
      </w:pPr>
      <w:r>
        <w:rPr>
          <w:rFonts w:eastAsia="楷体_GB2312"/>
          <w:b/>
          <w:bCs/>
          <w:sz w:val="32"/>
          <w:szCs w:val="32"/>
        </w:rPr>
        <w:t>项目产出情况</w:t>
      </w:r>
    </w:p>
    <w:p w14:paraId="32998569">
      <w:pPr>
        <w:spacing w:line="600" w:lineRule="exact"/>
        <w:ind w:firstLine="640" w:firstLineChars="200"/>
        <w:outlineLvl w:val="0"/>
        <w:rPr>
          <w:rFonts w:eastAsia="仿宋_GB2312"/>
          <w:sz w:val="32"/>
          <w:szCs w:val="32"/>
          <w:highlight w:val="none"/>
        </w:rPr>
      </w:pPr>
      <w:r>
        <w:rPr>
          <w:rFonts w:eastAsia="仿宋_GB2312"/>
          <w:sz w:val="32"/>
          <w:szCs w:val="32"/>
        </w:rPr>
        <w:t>项目产</w:t>
      </w:r>
      <w:r>
        <w:rPr>
          <w:rFonts w:eastAsia="仿宋_GB2312"/>
          <w:sz w:val="32"/>
          <w:szCs w:val="32"/>
          <w:highlight w:val="none"/>
        </w:rPr>
        <w:t>出类指标包括产出数量、产出质量、产出时效、产出成本四方面的内容，由</w:t>
      </w:r>
      <w:r>
        <w:rPr>
          <w:rFonts w:hint="eastAsia" w:eastAsia="仿宋_GB2312"/>
          <w:sz w:val="32"/>
          <w:szCs w:val="32"/>
          <w:highlight w:val="none"/>
        </w:rPr>
        <w:t>6</w:t>
      </w:r>
      <w:r>
        <w:rPr>
          <w:rFonts w:eastAsia="仿宋_GB2312"/>
          <w:sz w:val="32"/>
          <w:szCs w:val="32"/>
          <w:highlight w:val="none"/>
        </w:rPr>
        <w:t>个三级指标构成，权重分为40分，实际得分</w:t>
      </w:r>
      <w:r>
        <w:rPr>
          <w:rFonts w:hint="eastAsia" w:eastAsia="仿宋_GB2312"/>
          <w:sz w:val="32"/>
          <w:szCs w:val="32"/>
          <w:highlight w:val="none"/>
          <w:lang w:val="en-US" w:eastAsia="zh-CN"/>
        </w:rPr>
        <w:t>40</w:t>
      </w:r>
      <w:r>
        <w:rPr>
          <w:rFonts w:eastAsia="仿宋_GB2312"/>
          <w:sz w:val="32"/>
          <w:szCs w:val="32"/>
          <w:highlight w:val="none"/>
        </w:rPr>
        <w:t>分，得分率为</w:t>
      </w:r>
      <w:r>
        <w:rPr>
          <w:rFonts w:hint="eastAsia" w:eastAsia="仿宋_GB2312"/>
          <w:sz w:val="32"/>
          <w:szCs w:val="32"/>
          <w:highlight w:val="none"/>
          <w:lang w:val="en-US" w:eastAsia="zh-CN"/>
        </w:rPr>
        <w:t>100</w:t>
      </w:r>
      <w:r>
        <w:rPr>
          <w:rFonts w:eastAsia="仿宋_GB2312"/>
          <w:sz w:val="32"/>
          <w:szCs w:val="32"/>
          <w:highlight w:val="none"/>
        </w:rPr>
        <w:t>%。具体产出指标完成情况如下：</w:t>
      </w:r>
    </w:p>
    <w:p w14:paraId="409F85F7">
      <w:pPr>
        <w:spacing w:line="600" w:lineRule="exact"/>
        <w:ind w:firstLine="640" w:firstLineChars="200"/>
        <w:outlineLvl w:val="0"/>
        <w:rPr>
          <w:rFonts w:eastAsia="仿宋_GB2312"/>
          <w:sz w:val="32"/>
          <w:szCs w:val="32"/>
          <w:highlight w:val="none"/>
        </w:rPr>
      </w:pPr>
      <w:r>
        <w:rPr>
          <w:rFonts w:eastAsia="仿宋_GB2312"/>
          <w:sz w:val="32"/>
          <w:szCs w:val="32"/>
          <w:highlight w:val="none"/>
        </w:rPr>
        <w:fldChar w:fldCharType="begin"/>
      </w:r>
      <w:r>
        <w:rPr>
          <w:rFonts w:eastAsia="仿宋_GB2312"/>
          <w:sz w:val="32"/>
          <w:szCs w:val="32"/>
          <w:highlight w:val="none"/>
        </w:rPr>
        <w:instrText xml:space="preserve"> = 1 \* GB3 </w:instrText>
      </w:r>
      <w:r>
        <w:rPr>
          <w:rFonts w:eastAsia="仿宋_GB2312"/>
          <w:sz w:val="32"/>
          <w:szCs w:val="32"/>
          <w:highlight w:val="none"/>
        </w:rPr>
        <w:fldChar w:fldCharType="separate"/>
      </w:r>
      <w:r>
        <w:rPr>
          <w:rFonts w:eastAsia="仿宋_GB2312"/>
          <w:sz w:val="32"/>
          <w:szCs w:val="32"/>
          <w:highlight w:val="none"/>
        </w:rPr>
        <w:t>①</w:t>
      </w:r>
      <w:r>
        <w:rPr>
          <w:rFonts w:eastAsia="仿宋_GB2312"/>
          <w:sz w:val="32"/>
          <w:szCs w:val="32"/>
          <w:highlight w:val="none"/>
        </w:rPr>
        <w:fldChar w:fldCharType="end"/>
      </w:r>
      <w:r>
        <w:rPr>
          <w:rFonts w:eastAsia="仿宋_GB2312"/>
          <w:sz w:val="32"/>
          <w:szCs w:val="32"/>
          <w:highlight w:val="none"/>
        </w:rPr>
        <w:t>数量指标：</w:t>
      </w:r>
    </w:p>
    <w:p w14:paraId="5126092E">
      <w:pPr>
        <w:spacing w:line="600" w:lineRule="exact"/>
        <w:ind w:firstLine="640" w:firstLineChars="200"/>
        <w:outlineLvl w:val="0"/>
        <w:rPr>
          <w:rFonts w:hint="eastAsia" w:eastAsia="仿宋_GB2312"/>
          <w:sz w:val="32"/>
          <w:szCs w:val="32"/>
        </w:rPr>
      </w:pPr>
      <w:r>
        <w:rPr>
          <w:rFonts w:eastAsia="仿宋_GB2312"/>
          <w:sz w:val="32"/>
          <w:szCs w:val="32"/>
        </w:rPr>
        <w:t>指标1：赴辽培训人员数量，指标值：&gt;=24人，实际完成值：=19人，指标完成率</w:t>
      </w:r>
      <w:r>
        <w:rPr>
          <w:rFonts w:hint="eastAsia" w:eastAsia="仿宋_GB2312"/>
          <w:sz w:val="32"/>
          <w:szCs w:val="32"/>
        </w:rPr>
        <w:t>79.17</w:t>
      </w:r>
      <w:r>
        <w:rPr>
          <w:rFonts w:eastAsia="仿宋_GB2312"/>
          <w:sz w:val="32"/>
          <w:szCs w:val="32"/>
        </w:rPr>
        <w:t>%，</w:t>
      </w:r>
      <w:r>
        <w:rPr>
          <w:rFonts w:hint="eastAsia" w:eastAsia="仿宋_GB2312"/>
          <w:sz w:val="32"/>
          <w:szCs w:val="32"/>
        </w:rPr>
        <w:t>偏差原因：年初设定指标是没有进行深入调研，对指标设定未结合实际情况造成指标设置不合理；改进措施：今后在设定指标时将结合实际情况，合理设定指标</w:t>
      </w:r>
    </w:p>
    <w:p w14:paraId="5303A60B">
      <w:pPr>
        <w:spacing w:line="600" w:lineRule="exact"/>
        <w:ind w:firstLine="640" w:firstLineChars="200"/>
        <w:outlineLvl w:val="0"/>
        <w:rPr>
          <w:rFonts w:hint="eastAsia"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：赴辽轮训次数，指标值：&gt;=</w:t>
      </w:r>
      <w:r>
        <w:rPr>
          <w:rFonts w:hint="eastAsia" w:eastAsia="仿宋_GB2312"/>
          <w:sz w:val="32"/>
          <w:szCs w:val="32"/>
        </w:rPr>
        <w:t>4次</w:t>
      </w:r>
      <w:r>
        <w:rPr>
          <w:rFonts w:eastAsia="仿宋_GB2312"/>
          <w:sz w:val="32"/>
          <w:szCs w:val="32"/>
        </w:rPr>
        <w:t>，实际完成值：=</w:t>
      </w:r>
      <w:r>
        <w:rPr>
          <w:rFonts w:hint="eastAsia" w:eastAsia="仿宋_GB2312"/>
          <w:sz w:val="32"/>
          <w:szCs w:val="32"/>
        </w:rPr>
        <w:t>3次</w:t>
      </w:r>
      <w:r>
        <w:rPr>
          <w:rFonts w:eastAsia="仿宋_GB2312"/>
          <w:sz w:val="32"/>
          <w:szCs w:val="32"/>
        </w:rPr>
        <w:t>，指标完成率</w:t>
      </w:r>
      <w:r>
        <w:rPr>
          <w:rFonts w:hint="eastAsia" w:eastAsia="仿宋_GB2312"/>
          <w:sz w:val="32"/>
          <w:szCs w:val="32"/>
        </w:rPr>
        <w:t>75</w:t>
      </w:r>
      <w:r>
        <w:rPr>
          <w:rFonts w:eastAsia="仿宋_GB2312"/>
          <w:sz w:val="32"/>
          <w:szCs w:val="32"/>
        </w:rPr>
        <w:t>%，</w:t>
      </w:r>
      <w:r>
        <w:rPr>
          <w:rFonts w:hint="eastAsia" w:eastAsia="仿宋_GB2312"/>
          <w:sz w:val="32"/>
          <w:szCs w:val="32"/>
        </w:rPr>
        <w:t>偏差原因：年初设定指标是没有进行深入调研，对指标设定未结合实际情况造成指标设置不合理；改进措施：今后在设定指标时将结合实际情况，合理设定指标</w:t>
      </w:r>
    </w:p>
    <w:p w14:paraId="7636E598">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5B0A60F6">
      <w:pPr>
        <w:spacing w:line="600" w:lineRule="exact"/>
        <w:ind w:firstLine="640" w:firstLineChars="200"/>
        <w:outlineLvl w:val="0"/>
      </w:pPr>
      <w:r>
        <w:rPr>
          <w:rFonts w:eastAsia="仿宋_GB2312"/>
          <w:sz w:val="32"/>
          <w:szCs w:val="32"/>
        </w:rPr>
        <w:t>指标1：培训交通缴纳覆盖率，指标值：=100%，实际完成值：=100%，指标完成率</w:t>
      </w:r>
      <w:r>
        <w:rPr>
          <w:rFonts w:hint="eastAsia" w:eastAsia="仿宋_GB2312"/>
          <w:sz w:val="32"/>
          <w:szCs w:val="32"/>
        </w:rPr>
        <w:t>=100%。</w:t>
      </w:r>
    </w:p>
    <w:p w14:paraId="0BEED4B1">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5D47DED7">
      <w:pPr>
        <w:spacing w:line="600" w:lineRule="exact"/>
        <w:ind w:firstLine="640" w:firstLineChars="200"/>
        <w:outlineLvl w:val="0"/>
      </w:pPr>
      <w:r>
        <w:rPr>
          <w:rFonts w:eastAsia="仿宋_GB2312"/>
          <w:sz w:val="32"/>
          <w:szCs w:val="32"/>
        </w:rPr>
        <w:t>指标1：项目完成时间，指标值：2024年12月31日，实际完成值：=2024年12月31日%，指标完成率</w:t>
      </w:r>
      <w:r>
        <w:rPr>
          <w:rFonts w:hint="eastAsia" w:eastAsia="仿宋_GB2312"/>
          <w:sz w:val="32"/>
          <w:szCs w:val="32"/>
        </w:rPr>
        <w:t>=100%。</w:t>
      </w:r>
    </w:p>
    <w:p w14:paraId="2DCE4BAC">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624A6E5D">
      <w:pPr>
        <w:spacing w:line="600" w:lineRule="exact"/>
        <w:ind w:firstLine="640" w:firstLineChars="200"/>
        <w:outlineLvl w:val="0"/>
      </w:pPr>
      <w:r>
        <w:rPr>
          <w:rFonts w:eastAsia="仿宋_GB2312"/>
          <w:sz w:val="32"/>
          <w:szCs w:val="32"/>
        </w:rPr>
        <w:t>指标1：每人标准交通费，指标值：&lt;=2450元/人·次，实际完成值：&lt;=2450元/人·次，指标完成率</w:t>
      </w:r>
      <w:r>
        <w:rPr>
          <w:rFonts w:hint="eastAsia" w:eastAsia="仿宋_GB2312"/>
          <w:sz w:val="32"/>
          <w:szCs w:val="32"/>
        </w:rPr>
        <w:t>=100%。</w:t>
      </w:r>
    </w:p>
    <w:p w14:paraId="4F65A04C">
      <w:pPr>
        <w:spacing w:line="600" w:lineRule="exact"/>
        <w:ind w:firstLine="640" w:firstLineChars="200"/>
        <w:outlineLvl w:val="0"/>
      </w:pPr>
      <w:r>
        <w:rPr>
          <w:rFonts w:eastAsia="仿宋_GB2312"/>
          <w:sz w:val="32"/>
          <w:szCs w:val="32"/>
        </w:rPr>
        <w:t>指标</w:t>
      </w:r>
      <w:r>
        <w:rPr>
          <w:rFonts w:hint="eastAsia" w:eastAsia="仿宋_GB2312"/>
          <w:sz w:val="32"/>
          <w:szCs w:val="32"/>
        </w:rPr>
        <w:t>2</w:t>
      </w:r>
      <w:r>
        <w:rPr>
          <w:rFonts w:eastAsia="仿宋_GB2312"/>
          <w:sz w:val="32"/>
          <w:szCs w:val="32"/>
        </w:rPr>
        <w:t>：交通预备费，指标值：&lt;=1200元，实际完成值：&lt;=</w:t>
      </w:r>
      <w:r>
        <w:rPr>
          <w:rFonts w:hint="eastAsia" w:eastAsia="仿宋_GB2312"/>
          <w:sz w:val="32"/>
          <w:szCs w:val="32"/>
        </w:rPr>
        <w:t>0</w:t>
      </w:r>
      <w:r>
        <w:rPr>
          <w:rFonts w:eastAsia="仿宋_GB2312"/>
          <w:sz w:val="32"/>
          <w:szCs w:val="32"/>
        </w:rPr>
        <w:t>元，指标完成率</w:t>
      </w:r>
      <w:r>
        <w:rPr>
          <w:rFonts w:hint="eastAsia" w:eastAsia="仿宋_GB2312"/>
          <w:sz w:val="32"/>
          <w:szCs w:val="32"/>
        </w:rPr>
        <w:t>=0%。</w:t>
      </w:r>
      <w:r>
        <w:rPr>
          <w:rFonts w:eastAsia="仿宋_GB2312"/>
          <w:sz w:val="32"/>
          <w:szCs w:val="32"/>
        </w:rPr>
        <w:t>偏差原因：</w:t>
      </w:r>
      <w:r>
        <w:rPr>
          <w:rFonts w:hint="eastAsia" w:eastAsia="仿宋_GB2312"/>
          <w:sz w:val="32"/>
          <w:szCs w:val="32"/>
        </w:rPr>
        <w:t>上级单位未拨付资金。</w:t>
      </w:r>
    </w:p>
    <w:p w14:paraId="5B91B715">
      <w:pPr>
        <w:pStyle w:val="7"/>
        <w:numPr>
          <w:ilvl w:val="0"/>
          <w:numId w:val="5"/>
        </w:numPr>
        <w:spacing w:line="560" w:lineRule="exact"/>
        <w:ind w:left="-643" w:leftChars="0" w:firstLine="643" w:firstLineChars="0"/>
        <w:rPr>
          <w:rFonts w:eastAsia="楷体_GB2312"/>
          <w:b/>
          <w:bCs/>
          <w:sz w:val="32"/>
          <w:szCs w:val="32"/>
        </w:rPr>
      </w:pPr>
      <w:r>
        <w:rPr>
          <w:rFonts w:eastAsia="楷体_GB2312"/>
          <w:b/>
          <w:bCs/>
          <w:sz w:val="32"/>
          <w:szCs w:val="32"/>
        </w:rPr>
        <w:t>项目效益情况</w:t>
      </w:r>
    </w:p>
    <w:p w14:paraId="41C7014F">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2</w:t>
      </w:r>
      <w:r>
        <w:rPr>
          <w:rFonts w:eastAsia="仿宋_GB2312"/>
          <w:sz w:val="32"/>
          <w:szCs w:val="32"/>
        </w:rPr>
        <w:t>个三级指标构成，权重分为</w:t>
      </w:r>
      <w:r>
        <w:rPr>
          <w:rFonts w:hint="eastAsia" w:eastAsia="仿宋_GB2312"/>
          <w:sz w:val="32"/>
          <w:szCs w:val="32"/>
        </w:rPr>
        <w:t>20</w:t>
      </w:r>
      <w:r>
        <w:rPr>
          <w:rFonts w:eastAsia="仿宋_GB2312"/>
          <w:sz w:val="32"/>
          <w:szCs w:val="32"/>
        </w:rPr>
        <w:t>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%。具体效益指标及满意度指标完成情况如下：</w:t>
      </w:r>
    </w:p>
    <w:p w14:paraId="1C1A372C">
      <w:pPr>
        <w:numPr>
          <w:ilvl w:val="0"/>
          <w:numId w:val="6"/>
        </w:numPr>
        <w:spacing w:line="600" w:lineRule="exact"/>
        <w:ind w:firstLine="640" w:firstLineChars="200"/>
        <w:outlineLvl w:val="0"/>
        <w:rPr>
          <w:rFonts w:eastAsia="仿宋_GB2312"/>
          <w:sz w:val="32"/>
          <w:szCs w:val="32"/>
        </w:rPr>
      </w:pPr>
      <w:r>
        <w:rPr>
          <w:rFonts w:eastAsia="仿宋_GB2312"/>
          <w:sz w:val="32"/>
          <w:szCs w:val="32"/>
        </w:rPr>
        <w:t>实施效益</w:t>
      </w:r>
    </w:p>
    <w:p w14:paraId="0DB6624E">
      <w:pPr>
        <w:spacing w:line="600" w:lineRule="exact"/>
        <w:ind w:firstLine="640" w:firstLineChars="200"/>
        <w:outlineLvl w:val="0"/>
        <w:rPr>
          <w:rFonts w:eastAsia="仿宋_GB2312"/>
          <w:sz w:val="32"/>
          <w:szCs w:val="32"/>
        </w:rPr>
      </w:pPr>
      <w:r>
        <w:rPr>
          <w:rFonts w:hint="eastAsia" w:eastAsia="仿宋_GB2312"/>
          <w:sz w:val="32"/>
          <w:szCs w:val="32"/>
        </w:rPr>
        <w:t>社会</w:t>
      </w:r>
      <w:r>
        <w:rPr>
          <w:rFonts w:eastAsia="仿宋_GB2312"/>
          <w:sz w:val="32"/>
          <w:szCs w:val="32"/>
        </w:rPr>
        <w:t>效益指标</w:t>
      </w:r>
    </w:p>
    <w:p w14:paraId="4A7D89FC">
      <w:pPr>
        <w:spacing w:line="600" w:lineRule="exact"/>
        <w:ind w:firstLine="640" w:firstLineChars="200"/>
        <w:outlineLvl w:val="0"/>
        <w:rPr>
          <w:rFonts w:eastAsia="仿宋_GB2312"/>
          <w:sz w:val="32"/>
          <w:szCs w:val="32"/>
        </w:rPr>
      </w:pPr>
      <w:r>
        <w:rPr>
          <w:rFonts w:eastAsia="仿宋_GB2312"/>
          <w:sz w:val="32"/>
          <w:szCs w:val="32"/>
        </w:rPr>
        <w:t>提升培训人员工作素质</w:t>
      </w:r>
      <w:r>
        <w:rPr>
          <w:rFonts w:hint="eastAsia" w:eastAsia="仿宋_GB2312"/>
          <w:sz w:val="32"/>
          <w:szCs w:val="32"/>
        </w:rPr>
        <w:t>，</w:t>
      </w:r>
      <w:r>
        <w:rPr>
          <w:rFonts w:eastAsia="仿宋_GB2312"/>
          <w:sz w:val="32"/>
          <w:szCs w:val="32"/>
        </w:rPr>
        <w:t>指标值：效果显著，实际完成值：效果显著，指标完成率</w:t>
      </w:r>
      <w:r>
        <w:rPr>
          <w:rFonts w:hint="eastAsia" w:eastAsia="仿宋_GB2312"/>
          <w:sz w:val="32"/>
          <w:szCs w:val="32"/>
        </w:rPr>
        <w:t>=100%。</w:t>
      </w:r>
    </w:p>
    <w:p w14:paraId="592F9DA6">
      <w:pPr>
        <w:spacing w:line="600" w:lineRule="exact"/>
        <w:ind w:firstLine="640" w:firstLineChars="200"/>
        <w:outlineLvl w:val="0"/>
        <w:rPr>
          <w:rFonts w:eastAsia="仿宋_GB2312"/>
          <w:sz w:val="32"/>
          <w:szCs w:val="32"/>
        </w:rPr>
      </w:pPr>
      <w:r>
        <w:rPr>
          <w:rFonts w:eastAsia="仿宋_GB2312"/>
          <w:sz w:val="32"/>
          <w:szCs w:val="32"/>
        </w:rPr>
        <w:t>2.满意度</w:t>
      </w:r>
    </w:p>
    <w:p w14:paraId="766B3AEF">
      <w:pPr>
        <w:spacing w:line="600" w:lineRule="exact"/>
        <w:ind w:firstLine="640" w:firstLineChars="200"/>
        <w:outlineLvl w:val="0"/>
        <w:rPr>
          <w:rFonts w:eastAsia="仿宋_GB2312"/>
          <w:sz w:val="32"/>
          <w:szCs w:val="32"/>
        </w:rPr>
      </w:pPr>
      <w:r>
        <w:rPr>
          <w:rFonts w:hint="eastAsia" w:eastAsia="仿宋_GB2312"/>
          <w:sz w:val="32"/>
          <w:szCs w:val="32"/>
        </w:rPr>
        <w:t>工作人员对本单位的交通费发放的满意度，</w:t>
      </w:r>
      <w:r>
        <w:rPr>
          <w:rFonts w:eastAsia="仿宋_GB2312"/>
          <w:sz w:val="32"/>
          <w:szCs w:val="32"/>
        </w:rPr>
        <w:t>指标值：</w:t>
      </w:r>
      <w:r>
        <w:rPr>
          <w:rFonts w:hint="eastAsia" w:eastAsia="仿宋_GB2312"/>
          <w:sz w:val="32"/>
          <w:szCs w:val="32"/>
        </w:rPr>
        <w:t>95%</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=105.26%。</w:t>
      </w:r>
    </w:p>
    <w:p w14:paraId="755F1745">
      <w:pPr>
        <w:spacing w:line="560" w:lineRule="exact"/>
        <w:ind w:firstLine="640" w:firstLineChars="200"/>
        <w:rPr>
          <w:rFonts w:eastAsia="仿宋_GB2312"/>
          <w:sz w:val="32"/>
          <w:szCs w:val="32"/>
        </w:rPr>
      </w:pPr>
    </w:p>
    <w:p w14:paraId="45E10AAD">
      <w:pPr>
        <w:spacing w:line="560" w:lineRule="exact"/>
        <w:ind w:firstLine="627" w:firstLineChars="200"/>
        <w:rPr>
          <w:rFonts w:eastAsia="楷体"/>
          <w:b/>
          <w:spacing w:val="-4"/>
          <w:sz w:val="32"/>
          <w:szCs w:val="32"/>
        </w:rPr>
      </w:pPr>
      <w:r>
        <w:rPr>
          <w:rFonts w:eastAsia="楷体"/>
          <w:b/>
          <w:spacing w:val="-4"/>
          <w:sz w:val="32"/>
          <w:szCs w:val="32"/>
        </w:rPr>
        <w:t>（五）预算执行进度与绩效指标总体完成率偏差</w:t>
      </w:r>
    </w:p>
    <w:p w14:paraId="25E9605B">
      <w:pPr>
        <w:pStyle w:val="13"/>
        <w:spacing w:line="560" w:lineRule="exact"/>
        <w:ind w:firstLine="640"/>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中共托里县委政法委员会费</w:t>
      </w:r>
      <w:r>
        <w:rPr>
          <w:rFonts w:ascii="Times New Roman" w:hAnsi="Times New Roman" w:eastAsia="仿宋_GB2312" w:cs="Times New Roman"/>
          <w:kern w:val="2"/>
          <w:sz w:val="32"/>
          <w:szCs w:val="32"/>
          <w:lang w:val="en-US" w:eastAsia="zh-CN" w:bidi="ar-SA"/>
        </w:rPr>
        <w:t>项目年初预算</w:t>
      </w:r>
      <w:r>
        <w:rPr>
          <w:rFonts w:hint="eastAsia" w:ascii="Times New Roman" w:hAnsi="Times New Roman" w:eastAsia="仿宋_GB2312" w:cs="Times New Roman"/>
          <w:kern w:val="2"/>
          <w:sz w:val="32"/>
          <w:szCs w:val="32"/>
          <w:lang w:val="en-US" w:eastAsia="zh-CN" w:bidi="ar-SA"/>
        </w:rPr>
        <w:t>6</w:t>
      </w:r>
      <w:r>
        <w:rPr>
          <w:rFonts w:ascii="Times New Roman" w:hAnsi="Times New Roman" w:eastAsia="仿宋_GB2312" w:cs="Times New Roman"/>
          <w:kern w:val="2"/>
          <w:sz w:val="32"/>
          <w:szCs w:val="32"/>
          <w:lang w:val="en-US" w:eastAsia="zh-CN" w:bidi="ar-SA"/>
        </w:rPr>
        <w:t>万元，全年预算</w:t>
      </w:r>
      <w:r>
        <w:rPr>
          <w:rFonts w:hint="eastAsia" w:ascii="Times New Roman" w:hAnsi="Times New Roman" w:eastAsia="仿宋_GB2312" w:cs="Times New Roman"/>
          <w:kern w:val="2"/>
          <w:sz w:val="32"/>
          <w:szCs w:val="32"/>
          <w:lang w:val="en-US" w:eastAsia="zh-CN" w:bidi="ar-SA"/>
        </w:rPr>
        <w:t>6</w:t>
      </w:r>
      <w:r>
        <w:rPr>
          <w:rFonts w:ascii="Times New Roman" w:hAnsi="Times New Roman" w:eastAsia="仿宋_GB2312" w:cs="Times New Roman"/>
          <w:kern w:val="2"/>
          <w:sz w:val="32"/>
          <w:szCs w:val="32"/>
          <w:lang w:val="en-US" w:eastAsia="zh-CN" w:bidi="ar-SA"/>
        </w:rPr>
        <w:t>万元，实际支出</w:t>
      </w:r>
      <w:r>
        <w:rPr>
          <w:rFonts w:hint="eastAsia" w:ascii="Times New Roman" w:hAnsi="Times New Roman" w:eastAsia="仿宋_GB2312" w:cs="Times New Roman"/>
          <w:kern w:val="2"/>
          <w:sz w:val="32"/>
          <w:szCs w:val="32"/>
          <w:lang w:val="en-US" w:eastAsia="zh-CN" w:bidi="ar-SA"/>
        </w:rPr>
        <w:t>4.655</w:t>
      </w:r>
      <w:r>
        <w:rPr>
          <w:rFonts w:ascii="Times New Roman" w:hAnsi="Times New Roman" w:eastAsia="仿宋_GB2312" w:cs="Times New Roman"/>
          <w:kern w:val="2"/>
          <w:sz w:val="32"/>
          <w:szCs w:val="32"/>
          <w:lang w:val="en-US" w:eastAsia="zh-CN" w:bidi="ar-SA"/>
        </w:rPr>
        <w:t>万元，预算执行率为</w:t>
      </w:r>
      <w:r>
        <w:rPr>
          <w:rFonts w:hint="eastAsia" w:ascii="Times New Roman" w:hAnsi="Times New Roman" w:eastAsia="仿宋_GB2312" w:cs="Times New Roman"/>
          <w:kern w:val="2"/>
          <w:sz w:val="32"/>
          <w:szCs w:val="32"/>
          <w:lang w:val="en-US" w:eastAsia="zh-CN" w:bidi="ar-SA"/>
        </w:rPr>
        <w:t>77.67</w:t>
      </w:r>
      <w:r>
        <w:rPr>
          <w:rFonts w:ascii="Times New Roman" w:hAnsi="Times New Roman" w:eastAsia="仿宋_GB2312" w:cs="Times New Roman"/>
          <w:kern w:val="2"/>
          <w:sz w:val="32"/>
          <w:szCs w:val="32"/>
          <w:lang w:val="en-US" w:eastAsia="zh-CN" w:bidi="ar-SA"/>
        </w:rPr>
        <w:t>%，项目绩效指标总体完成率为</w:t>
      </w:r>
      <w:r>
        <w:rPr>
          <w:rFonts w:hint="eastAsia" w:ascii="Times New Roman" w:hAnsi="Times New Roman" w:eastAsia="仿宋_GB2312" w:cs="Times New Roman"/>
          <w:kern w:val="2"/>
          <w:sz w:val="32"/>
          <w:szCs w:val="32"/>
          <w:lang w:val="en-US" w:eastAsia="zh-CN" w:bidi="ar-SA"/>
        </w:rPr>
        <w:t>81.77</w:t>
      </w:r>
      <w:r>
        <w:rPr>
          <w:rFonts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bidi="ar-SA"/>
        </w:rPr>
        <w:t>总体</w:t>
      </w:r>
      <w:r>
        <w:rPr>
          <w:rFonts w:ascii="Times New Roman" w:hAnsi="Times New Roman" w:eastAsia="仿宋_GB2312" w:cs="Times New Roman"/>
          <w:kern w:val="2"/>
          <w:sz w:val="32"/>
          <w:szCs w:val="32"/>
          <w:lang w:val="en-US" w:eastAsia="zh-CN" w:bidi="ar-SA"/>
        </w:rPr>
        <w:t>偏差率为</w:t>
      </w:r>
      <w:r>
        <w:rPr>
          <w:rFonts w:hint="eastAsia" w:ascii="Times New Roman" w:hAnsi="Times New Roman" w:eastAsia="仿宋_GB2312" w:cs="Times New Roman"/>
          <w:kern w:val="2"/>
          <w:sz w:val="32"/>
          <w:szCs w:val="32"/>
          <w:lang w:val="en-US" w:eastAsia="zh-CN" w:bidi="ar-SA"/>
        </w:rPr>
        <w:t>4.1</w:t>
      </w:r>
      <w:r>
        <w:rPr>
          <w:rFonts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，偏差原因：年初设定指标是没有进行深入调研，对指标设定未结合实际情况造成指标设置不合理；改进措施：今后在设定指标时将结合实际情况，合理设定指标</w:t>
      </w:r>
    </w:p>
    <w:p w14:paraId="0EA2E93B">
      <w:pPr>
        <w:spacing w:line="560" w:lineRule="exact"/>
        <w:ind w:firstLine="640" w:firstLineChars="200"/>
        <w:rPr>
          <w:rStyle w:val="14"/>
          <w:rFonts w:ascii="Times New Roman" w:hAnsi="Times New Roman" w:cs="Times New Roman"/>
          <w:color w:val="auto"/>
        </w:rPr>
      </w:pPr>
      <w:r>
        <w:rPr>
          <w:rFonts w:hint="eastAsia" w:eastAsia="黑体"/>
          <w:sz w:val="32"/>
          <w:szCs w:val="32"/>
        </w:rPr>
        <w:t>五</w:t>
      </w:r>
      <w:r>
        <w:rPr>
          <w:rFonts w:eastAsia="仿宋_GB2312"/>
          <w:b/>
          <w:bCs/>
          <w:sz w:val="32"/>
          <w:szCs w:val="32"/>
        </w:rPr>
        <w:t>.</w:t>
      </w:r>
      <w:r>
        <w:rPr>
          <w:rFonts w:eastAsia="黑体"/>
          <w:sz w:val="32"/>
          <w:szCs w:val="32"/>
        </w:rPr>
        <w:t>主要经验及做法、存在的问题及原因分析</w:t>
      </w:r>
    </w:p>
    <w:p w14:paraId="4C3F1E3F">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103A54C6">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267066A5">
      <w:pPr>
        <w:pStyle w:val="6"/>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w:t>
      </w:r>
      <w:r>
        <w:rPr>
          <w:rFonts w:hint="eastAsia" w:ascii="Times New Roman" w:hAnsi="Times New Roman" w:eastAsia="仿宋_GB2312"/>
          <w:b w:val="0"/>
          <w:bCs w:val="0"/>
          <w:kern w:val="2"/>
        </w:rPr>
        <w:t>杜绝</w:t>
      </w:r>
      <w:r>
        <w:rPr>
          <w:rFonts w:ascii="Times New Roman" w:hAnsi="Times New Roman" w:eastAsia="仿宋_GB2312"/>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FC1EDC5">
      <w:pPr>
        <w:keepNext/>
        <w:keepLines/>
        <w:numPr>
          <w:ilvl w:val="0"/>
          <w:numId w:val="7"/>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3EF81EB6">
      <w:pPr>
        <w:spacing w:line="600" w:lineRule="exact"/>
        <w:ind w:firstLine="640" w:firstLineChars="200"/>
        <w:outlineLvl w:val="0"/>
        <w:rPr>
          <w:rFonts w:eastAsia="仿宋_GB2312"/>
          <w:sz w:val="32"/>
          <w:szCs w:val="32"/>
        </w:rPr>
      </w:pPr>
      <w:r>
        <w:rPr>
          <w:rFonts w:eastAsia="仿宋_GB2312"/>
          <w:sz w:val="32"/>
          <w:szCs w:val="32"/>
        </w:rPr>
        <w:t>1.相关绩效管理方面专业知识的系统性学习有待加强。各项指标的设置要进一步优化、完善，主要在细化、量化上改进。在绩效自评过程中，</w:t>
      </w:r>
      <w:r>
        <w:rPr>
          <w:rFonts w:eastAsia="仿宋_GB2312"/>
          <w:sz w:val="32"/>
          <w:szCs w:val="32"/>
          <w:lang w:val="en-US" w:eastAsia="zh-CN"/>
        </w:rPr>
        <w:t>由于部分人员</w:t>
      </w:r>
      <w:r>
        <w:rPr>
          <w:rFonts w:eastAsia="仿宋_GB2312"/>
          <w:sz w:val="32"/>
          <w:szCs w:val="32"/>
        </w:rPr>
        <w:t>缺乏相关绩效管理专业知识，自评价工作还存在自我审定的局限性，影响评价质量。</w:t>
      </w:r>
    </w:p>
    <w:p w14:paraId="21BF8013">
      <w:pPr>
        <w:spacing w:line="600" w:lineRule="exact"/>
        <w:ind w:firstLine="640" w:firstLineChars="200"/>
        <w:outlineLvl w:val="0"/>
        <w:rPr>
          <w:rFonts w:eastAsia="仿宋_GB2312"/>
          <w:sz w:val="32"/>
          <w:szCs w:val="32"/>
        </w:rPr>
      </w:pPr>
      <w:r>
        <w:rPr>
          <w:rFonts w:eastAsia="仿宋_GB2312"/>
          <w:sz w:val="32"/>
          <w:szCs w:val="32"/>
        </w:rPr>
        <w:t>2.因轮岗、调动</w:t>
      </w:r>
      <w:r>
        <w:rPr>
          <w:rFonts w:hint="eastAsia" w:eastAsia="仿宋_GB2312"/>
          <w:sz w:val="32"/>
          <w:szCs w:val="32"/>
        </w:rPr>
        <w:t>等</w:t>
      </w:r>
      <w:r>
        <w:rPr>
          <w:rFonts w:eastAsia="仿宋_GB2312"/>
          <w:sz w:val="32"/>
          <w:szCs w:val="32"/>
        </w:rPr>
        <w:t>因素使我单位绩效工作人员流动频繁，</w:t>
      </w:r>
      <w:r>
        <w:rPr>
          <w:rFonts w:hint="eastAsia" w:eastAsia="仿宋_GB2312"/>
          <w:sz w:val="32"/>
          <w:szCs w:val="32"/>
        </w:rPr>
        <w:t>造成</w:t>
      </w:r>
      <w:r>
        <w:rPr>
          <w:rFonts w:eastAsia="仿宋_GB2312"/>
          <w:sz w:val="32"/>
          <w:szCs w:val="32"/>
        </w:rPr>
        <w:t>工作衔接不到位的情况。</w:t>
      </w:r>
      <w:bookmarkStart w:id="1" w:name="_GoBack"/>
      <w:bookmarkEnd w:id="1"/>
    </w:p>
    <w:p w14:paraId="5C03A134">
      <w:pPr>
        <w:spacing w:line="560" w:lineRule="exact"/>
        <w:ind w:firstLine="640" w:firstLineChars="200"/>
        <w:rPr>
          <w:rFonts w:eastAsia="黑体"/>
          <w:sz w:val="32"/>
          <w:szCs w:val="32"/>
        </w:rPr>
      </w:pPr>
      <w:r>
        <w:rPr>
          <w:rFonts w:hint="eastAsia" w:eastAsia="黑体"/>
          <w:sz w:val="32"/>
          <w:szCs w:val="32"/>
        </w:rPr>
        <w:t>六</w:t>
      </w:r>
      <w:r>
        <w:rPr>
          <w:rFonts w:eastAsia="黑体"/>
          <w:sz w:val="32"/>
          <w:szCs w:val="32"/>
        </w:rPr>
        <w:t>.有关建议</w:t>
      </w:r>
    </w:p>
    <w:p w14:paraId="143A6ED5">
      <w:pPr>
        <w:spacing w:line="600" w:lineRule="exact"/>
        <w:ind w:firstLine="640" w:firstLineChars="200"/>
        <w:outlineLvl w:val="0"/>
        <w:rPr>
          <w:rFonts w:eastAsia="仿宋_GB2312"/>
          <w:sz w:val="32"/>
          <w:szCs w:val="32"/>
        </w:rPr>
      </w:pPr>
      <w:r>
        <w:rPr>
          <w:rFonts w:eastAsia="仿宋_GB2312"/>
          <w:sz w:val="32"/>
          <w:szCs w:val="32"/>
        </w:rPr>
        <w:t>1.多进行有关绩效管理工作方面的培训。积极组织第三方开展绩效管理工作培训，进一步夯实业务基础，提高我单位绩效人员水平。</w:t>
      </w:r>
    </w:p>
    <w:p w14:paraId="0735DDA0">
      <w:pPr>
        <w:spacing w:line="600" w:lineRule="exact"/>
        <w:ind w:firstLine="640" w:firstLineChars="200"/>
        <w:outlineLvl w:val="0"/>
        <w:rPr>
          <w:rFonts w:eastAsia="仿宋_GB2312"/>
          <w:sz w:val="32"/>
          <w:szCs w:val="32"/>
        </w:rPr>
      </w:pPr>
      <w:r>
        <w:rPr>
          <w:rFonts w:eastAsia="仿宋_GB2312"/>
          <w:sz w:val="32"/>
          <w:szCs w:val="32"/>
        </w:rPr>
        <w:t>2.专门设定对绩效工作人员定职、定岗、定责等相关制度措施，进一步提升我单位绩效管理工作业务水平，扎实做好绩效管理工作。</w:t>
      </w:r>
    </w:p>
    <w:p w14:paraId="0ADAA292">
      <w:pPr>
        <w:spacing w:line="600" w:lineRule="exact"/>
        <w:ind w:firstLine="640" w:firstLineChars="200"/>
        <w:outlineLvl w:val="0"/>
        <w:rPr>
          <w:rFonts w:eastAsia="仿宋_GB2312"/>
          <w:sz w:val="32"/>
          <w:szCs w:val="32"/>
        </w:rPr>
      </w:pPr>
      <w:r>
        <w:rPr>
          <w:rFonts w:eastAsia="仿宋_GB2312"/>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26861AFC">
      <w:pPr>
        <w:spacing w:line="600" w:lineRule="exact"/>
        <w:ind w:firstLine="640" w:firstLineChars="200"/>
        <w:outlineLvl w:val="0"/>
        <w:rPr>
          <w:sz w:val="22"/>
          <w:szCs w:val="28"/>
        </w:rPr>
      </w:pPr>
      <w:r>
        <w:rPr>
          <w:rFonts w:eastAsia="仿宋_GB2312"/>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eastAsia="仿宋_GB2312"/>
          <w:sz w:val="36"/>
          <w:szCs w:val="32"/>
        </w:rPr>
        <w:t>。</w:t>
      </w:r>
    </w:p>
    <w:p w14:paraId="05BDC1A4">
      <w:pPr>
        <w:spacing w:line="600" w:lineRule="exact"/>
        <w:ind w:firstLine="640" w:firstLineChars="200"/>
        <w:outlineLvl w:val="0"/>
        <w:rPr>
          <w:rFonts w:eastAsia="仿宋_GB2312"/>
          <w:sz w:val="32"/>
          <w:szCs w:val="32"/>
        </w:rPr>
      </w:pPr>
      <w:r>
        <w:rPr>
          <w:rFonts w:eastAsia="仿宋_GB2312"/>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7A2F0BB6">
      <w:pPr>
        <w:spacing w:line="560" w:lineRule="exact"/>
        <w:ind w:firstLine="640" w:firstLineChars="200"/>
        <w:rPr>
          <w:rFonts w:eastAsia="黑体"/>
          <w:sz w:val="32"/>
          <w:szCs w:val="32"/>
        </w:rPr>
      </w:pPr>
      <w:r>
        <w:rPr>
          <w:rFonts w:hint="eastAsia" w:eastAsia="黑体"/>
          <w:sz w:val="32"/>
          <w:szCs w:val="32"/>
        </w:rPr>
        <w:t>七</w:t>
      </w:r>
      <w:r>
        <w:rPr>
          <w:rFonts w:eastAsia="仿宋_GB2312"/>
          <w:b/>
          <w:bCs/>
          <w:sz w:val="32"/>
          <w:szCs w:val="32"/>
        </w:rPr>
        <w:t>.</w:t>
      </w:r>
      <w:r>
        <w:rPr>
          <w:rFonts w:eastAsia="黑体"/>
          <w:sz w:val="32"/>
          <w:szCs w:val="32"/>
        </w:rPr>
        <w:t>其他需要说</w:t>
      </w:r>
      <w:bookmarkStart w:id="0" w:name="page8"/>
      <w:bookmarkEnd w:id="0"/>
      <w:r>
        <w:rPr>
          <w:rFonts w:eastAsia="黑体"/>
          <w:sz w:val="32"/>
          <w:szCs w:val="32"/>
        </w:rPr>
        <w:t>明的问题</w:t>
      </w:r>
    </w:p>
    <w:p w14:paraId="5FB7873B">
      <w:pPr>
        <w:pStyle w:val="8"/>
        <w:spacing w:after="0" w:line="560" w:lineRule="exact"/>
        <w:ind w:left="0" w:leftChars="0" w:firstLine="640"/>
        <w:rPr>
          <w:rFonts w:ascii="Times New Roman" w:hAnsi="Times New Roman" w:eastAsia="仿宋_GB2312"/>
          <w:sz w:val="32"/>
          <w:szCs w:val="32"/>
        </w:rPr>
      </w:pPr>
      <w:r>
        <w:rPr>
          <w:rFonts w:ascii="Times New Roman" w:hAnsi="Times New Roman" w:eastAsia="仿宋_GB2312"/>
          <w:sz w:val="32"/>
          <w:szCs w:val="32"/>
        </w:rPr>
        <w:t>本项目无其他需说明的问题。</w:t>
      </w:r>
    </w:p>
    <w:p w14:paraId="08960405">
      <w:pPr>
        <w:pStyle w:val="8"/>
        <w:spacing w:after="0" w:line="560" w:lineRule="exact"/>
        <w:ind w:left="0" w:leftChars="0" w:firstLine="640"/>
        <w:rPr>
          <w:rFonts w:ascii="Times New Roman" w:hAnsi="Times New Roman" w:eastAsia="仿宋_GB2312"/>
          <w:sz w:val="32"/>
          <w:szCs w:val="32"/>
        </w:rPr>
      </w:pPr>
    </w:p>
    <w:p w14:paraId="4AD2FD58">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pPr>
        <w:ind w:left="-643"/>
      </w:pPr>
      <w:rPr>
        <w:rFonts w:hint="eastAsia"/>
      </w:rPr>
    </w:lvl>
  </w:abstractNum>
  <w:abstractNum w:abstractNumId="1">
    <w:nsid w:val="BF205925"/>
    <w:multiLevelType w:val="singleLevel"/>
    <w:tmpl w:val="BF205925"/>
    <w:lvl w:ilvl="0" w:tentative="0">
      <w:start w:val="3"/>
      <w:numFmt w:val="chineseCounting"/>
      <w:suff w:val="nothing"/>
      <w:lvlText w:val="%1、"/>
      <w:lvlJc w:val="left"/>
      <w:rPr>
        <w:rFonts w:hint="eastAsia"/>
      </w:rPr>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03D62ECE"/>
    <w:multiLevelType w:val="singleLevel"/>
    <w:tmpl w:val="03D62ECE"/>
    <w:lvl w:ilvl="0" w:tentative="0">
      <w:start w:val="1"/>
      <w:numFmt w:val="decimal"/>
      <w:lvlText w:val="%1."/>
      <w:lvlJc w:val="left"/>
      <w:pPr>
        <w:tabs>
          <w:tab w:val="left" w:pos="312"/>
        </w:tabs>
      </w:pPr>
    </w:lvl>
  </w:abstractNum>
  <w:abstractNum w:abstractNumId="5">
    <w:nsid w:val="25B654F3"/>
    <w:multiLevelType w:val="singleLevel"/>
    <w:tmpl w:val="25B654F3"/>
    <w:lvl w:ilvl="0" w:tentative="0">
      <w:start w:val="2"/>
      <w:numFmt w:val="chineseCounting"/>
      <w:suff w:val="nothing"/>
      <w:lvlText w:val="（%1）"/>
      <w:lvlJc w:val="left"/>
      <w:rPr>
        <w:rFonts w:hint="eastAsia"/>
      </w:rPr>
    </w:lvl>
  </w:abstractNum>
  <w:abstractNum w:abstractNumId="6">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000000"/>
    <w:rsid w:val="7ABD2A34"/>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1"/>
    <w:basedOn w:val="1"/>
    <w:next w:val="1"/>
    <w:qFormat/>
    <w:uiPriority w:val="0"/>
    <w:pPr>
      <w:keepNext/>
      <w:keepLines/>
      <w:spacing w:beforeLines="100"/>
      <w:outlineLvl w:val="0"/>
    </w:pPr>
    <w:rPr>
      <w:b/>
      <w:bCs/>
      <w:kern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Normal (Web)"/>
    <w:basedOn w:val="1"/>
    <w:qFormat/>
    <w:uiPriority w:val="0"/>
    <w:pPr>
      <w:spacing w:beforeAutospacing="1" w:afterAutospacing="1"/>
      <w:jc w:val="left"/>
    </w:pPr>
    <w:rPr>
      <w:kern w:val="0"/>
      <w:sz w:val="24"/>
    </w:rPr>
  </w:style>
  <w:style w:type="paragraph" w:styleId="6">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7">
    <w:name w:val="Body Text First Indent"/>
    <w:basedOn w:val="3"/>
    <w:qFormat/>
    <w:uiPriority w:val="0"/>
    <w:pPr>
      <w:spacing w:after="0"/>
      <w:ind w:firstLine="200" w:firstLineChars="200"/>
    </w:pPr>
  </w:style>
  <w:style w:type="paragraph" w:styleId="8">
    <w:name w:val="Body Text First Indent 2"/>
    <w:basedOn w:val="4"/>
    <w:qFormat/>
    <w:uiPriority w:val="0"/>
    <w:pPr>
      <w:ind w:firstLine="420" w:firstLineChars="200"/>
    </w:pPr>
  </w:style>
  <w:style w:type="table" w:styleId="10">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Strong"/>
    <w:basedOn w:val="11"/>
    <w:qFormat/>
    <w:uiPriority w:val="0"/>
    <w:rPr>
      <w:b/>
      <w:bCs/>
    </w:rPr>
  </w:style>
  <w:style w:type="paragraph" w:customStyle="1" w:styleId="13">
    <w:name w:val="闻政-正文段落文字"/>
    <w:basedOn w:val="1"/>
    <w:qFormat/>
    <w:uiPriority w:val="3"/>
    <w:pPr>
      <w:spacing w:line="500" w:lineRule="exact"/>
      <w:ind w:firstLine="200"/>
    </w:pPr>
    <w:rPr>
      <w:kern w:val="0"/>
      <w:szCs w:val="28"/>
    </w:rPr>
  </w:style>
  <w:style w:type="character" w:customStyle="1" w:styleId="14">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337DBB20087645CB8EDB8C599990CDF8</vt:lpwstr>
  </property>
</Properties>
</file>

<file path=customXml/itemProps1.xml><?xml version="1.0" encoding="utf-8"?>
<ds:datastoreItem xmlns:ds="http://schemas.openxmlformats.org/officeDocument/2006/customXml" ds:itemID="{6b08e541-71c0-48e3-b1c6-597710122bb3}">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10922</Words>
  <Characters>11210</Characters>
  <Lines>1</Lines>
  <Paragraphs>1</Paragraphs>
  <TotalTime>0</TotalTime>
  <ScaleCrop>false</ScaleCrop>
  <LinksUpToDate>false</LinksUpToDate>
  <CharactersWithSpaces>11219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来财&amp;十个勤天</cp:lastModifiedBy>
  <cp:lastPrinted>2025-04-21T09:44:00Z</cp:lastPrinted>
  <dcterms:modified xsi:type="dcterms:W3CDTF">2025-10-31T09:11:16Z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337DBB20087645CB8EDB8C599990CDF8</vt:lpwstr>
  </property>
  <property fmtid="{D5CDD505-2E9C-101B-9397-08002B2CF9AE}" pid="4" name="KSOTemplateDocerSaveRecord">
    <vt:lpwstr>eyJoZGlkIjoiNTM1NjJiMTUwNmFhZWNlZmQwNDVjMDAxNDMwM2IwMDkiLCJ1c2VySWQiOiIzNzI2MDMzNTYifQ==</vt:lpwstr>
  </property>
</Properties>
</file>