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center"/>
        <w:rPr>
          <w:rFonts w:ascii="Times New Roman" w:eastAsia="华文中宋" w:hAnsi="Times New Roman" w:cs="Times New Roman" w:hint="default"/>
          <w:b/>
          <w:kern w:val="0"/>
          <w:sz w:val="52"/>
          <w:szCs w:val="52"/>
          <w:highlight w:val="none"/>
        </w:rPr>
      </w:pPr>
      <w:bookmarkStart w:id="0" w:name="_GoBack"/>
      <w:bookmarkEnd w:id="0"/>
    </w:p>
    <w:p>
      <w:pPr>
        <w:spacing w:line="540" w:lineRule="exact"/>
        <w:rPr>
          <w:rFonts w:ascii="Times New Roman" w:eastAsia="华文中宋" w:hAnsi="Times New Roman" w:cs="Times New Roman" w:hint="default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ascii="Times New Roman" w:eastAsia="华文中宋" w:hAnsi="Times New Roman" w:cs="Times New Roman" w:hint="default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ascii="Times New Roman" w:eastAsia="华文中宋" w:hAnsi="Times New Roman" w:cs="Times New Roman" w:hint="default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ascii="Times New Roman" w:eastAsia="方正小标宋_GBK" w:hAnsi="Times New Roman" w:cs="Times New Roman" w:hint="default"/>
          <w:kern w:val="0"/>
          <w:sz w:val="48"/>
          <w:szCs w:val="48"/>
          <w:highlight w:val="none"/>
        </w:rPr>
      </w:pPr>
      <w:r>
        <w:rPr>
          <w:rFonts w:eastAsia="方正小标宋_GBK" w:cs="Times New Roman" w:hint="eastAsia"/>
          <w:kern w:val="0"/>
          <w:sz w:val="48"/>
          <w:szCs w:val="48"/>
          <w:highlight w:val="none"/>
          <w:lang w:val="en-US" w:eastAsia="zh-CN"/>
        </w:rPr>
        <w:t xml:space="preserve">2024年其他项目类-2020年至2023年国资大厦租赁费</w:t>
      </w:r>
      <w:r>
        <w:rPr>
          <w:rFonts w:ascii="Times New Roman" w:eastAsia="方正小标宋_GBK" w:hAnsi="Times New Roman" w:cs="Times New Roman" w:hint="default"/>
          <w:kern w:val="0"/>
          <w:sz w:val="48"/>
          <w:szCs w:val="48"/>
          <w:highlight w:val="none"/>
        </w:rPr>
        <w:t xml:space="preserve">项目支出绩效评价报告</w:t>
      </w:r>
    </w:p>
    <w:p>
      <w:pPr>
        <w:spacing w:line="540" w:lineRule="exact"/>
        <w:jc w:val="center"/>
        <w:rPr>
          <w:rFonts w:ascii="Times New Roman" w:eastAsia="华文中宋" w:hAnsi="Times New Roman" w:cs="Times New Roman" w:hint="default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（202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  <w:lang w:val="en-US" w:eastAsia="zh-CN"/>
        </w:rPr>
        <w:t xml:space="preserve">4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年度）</w:t>
      </w: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0"/>
          <w:szCs w:val="30"/>
          <w:highlight w:val="none"/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0"/>
          <w:szCs w:val="30"/>
          <w:highlight w:val="none"/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0"/>
          <w:szCs w:val="30"/>
          <w:highlight w:val="none"/>
        </w:rPr>
      </w:pPr>
    </w:p>
    <w:p>
      <w:pPr>
        <w:pStyle w:val="Title"/>
        <w:rPr>
          <w:rFonts w:ascii="Times New Roman" w:hAnsi="Times New Roman" w:cs="Times New Roman" w:hint="default"/>
          <w:highlight w:val="none"/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0"/>
          <w:szCs w:val="30"/>
          <w:highlight w:val="none"/>
        </w:rPr>
      </w:pPr>
    </w:p>
    <w:p>
      <w:pPr>
        <w:spacing w:line="540" w:lineRule="exact"/>
        <w:rPr>
          <w:rFonts w:ascii="Times New Roman" w:eastAsia="仿宋_GB2312" w:hAnsi="Times New Roman" w:cs="Times New Roman" w:hint="default"/>
          <w:kern w:val="0"/>
          <w:sz w:val="30"/>
          <w:szCs w:val="30"/>
          <w:highlight w:val="none"/>
        </w:rPr>
      </w:pPr>
    </w:p>
    <w:p>
      <w:pPr>
        <w:spacing w:line="700" w:lineRule="exact"/>
        <w:ind w:left="1436" w:firstLine="0" w:leftChars="684" w:firstLineChars="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项目名称：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  <w:lang w:val="en-US" w:eastAsia="zh-CN"/>
        </w:rPr>
        <w:t xml:space="preserve">2024年其他项目类-2020年至202</w:t>
      </w:r>
      <w:r>
        <w:rPr>
          <w:rFonts w:eastAsia="仿宋_GB2312" w:cs="Times New Roman" w:hint="eastAsia"/>
          <w:kern w:val="0"/>
          <w:sz w:val="36"/>
          <w:szCs w:val="36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  <w:lang w:val="en-US" w:eastAsia="zh-CN"/>
        </w:rPr>
        <w:t xml:space="preserve">年国资大厦租赁费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项目支出绩效评价报告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实施单位（公章）：</w:t>
      </w:r>
      <w:r>
        <w:rPr>
          <w:rFonts w:eastAsia="仿宋_GB2312" w:cs="Times New Roman" w:hint="eastAsia"/>
          <w:kern w:val="0"/>
          <w:sz w:val="36"/>
          <w:szCs w:val="36"/>
          <w:highlight w:val="none"/>
          <w:lang w:val="en-US" w:eastAsia="zh-CN"/>
        </w:rPr>
        <w:t xml:space="preserve">托里县机关事务服务中心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  <w:highlight w:val="yellow"/>
        </w:rPr>
      </w:pPr>
      <w:r>
        <w:rPr>
          <w:rFonts w:eastAsia="仿宋_GB2312" w:cs="Times New Roman" w:hint="default"/>
          <w:kern w:val="0"/>
          <w:sz w:val="36"/>
          <w:szCs w:val="36"/>
          <w:highlight w:val="none"/>
          <w:lang w:val="en-US" w:eastAsia="zh-CN"/>
        </w:rPr>
        <w:t xml:space="preserve">主管部门（公章）：</w:t>
      </w:r>
      <w:r>
        <w:rPr>
          <w:rFonts w:eastAsia="仿宋_GB2312" w:cs="Times New Roman" w:hint="eastAsia"/>
          <w:kern w:val="0"/>
          <w:sz w:val="36"/>
          <w:szCs w:val="36"/>
          <w:highlight w:val="none"/>
          <w:lang w:val="en-US" w:eastAsia="zh-CN"/>
        </w:rPr>
        <w:t xml:space="preserve">托里县机关事务服务中心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项目负责人（签章）：</w:t>
      </w:r>
    </w:p>
    <w:p>
      <w:pPr>
        <w:spacing w:line="700" w:lineRule="exact"/>
        <w:ind w:firstLine="1440" w:firstLineChars="400"/>
        <w:jc w:val="left"/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</w:pP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填报时间：</w:t>
      </w:r>
      <w:r>
        <w:rPr>
          <w:rFonts w:eastAsia="仿宋_GB2312" w:cs="Times New Roman" w:hint="eastAsia"/>
          <w:kern w:val="0"/>
          <w:sz w:val="36"/>
          <w:szCs w:val="36"/>
          <w:highlight w:val="none"/>
          <w:lang w:val="en-US" w:eastAsia="zh-CN"/>
        </w:rPr>
        <w:t xml:space="preserve">2025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年</w:t>
      </w:r>
      <w:r>
        <w:rPr>
          <w:rFonts w:eastAsia="仿宋_GB2312" w:cs="Times New Roman" w:hint="eastAsia"/>
          <w:kern w:val="0"/>
          <w:sz w:val="36"/>
          <w:szCs w:val="36"/>
          <w:highlight w:val="none"/>
          <w:lang w:val="en-US" w:eastAsia="zh-CN"/>
        </w:rPr>
        <w:t xml:space="preserve">4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月</w:t>
      </w:r>
      <w:r>
        <w:rPr>
          <w:rFonts w:eastAsia="仿宋_GB2312" w:cs="Times New Roman" w:hint="eastAsia"/>
          <w:kern w:val="0"/>
          <w:sz w:val="36"/>
          <w:szCs w:val="36"/>
          <w:highlight w:val="none"/>
          <w:lang w:val="en-US" w:eastAsia="zh-CN"/>
        </w:rPr>
        <w:t xml:space="preserve">18</w:t>
      </w:r>
      <w:r>
        <w:rPr>
          <w:rFonts w:ascii="Times New Roman" w:eastAsia="仿宋_GB2312" w:hAnsi="Times New Roman" w:cs="Times New Roman" w:hint="default"/>
          <w:kern w:val="0"/>
          <w:sz w:val="36"/>
          <w:szCs w:val="36"/>
          <w:highlight w:val="none"/>
        </w:rPr>
        <w:t xml:space="preserve">日</w:t>
      </w: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kern w:val="0"/>
          <w:sz w:val="30"/>
          <w:szCs w:val="30"/>
          <w:highlight w:val="none"/>
        </w:rPr>
      </w:pPr>
    </w:p>
    <w:p>
      <w:pPr>
        <w:spacing w:line="540" w:lineRule="exact"/>
        <w:rPr>
          <w:rStyle w:val="Strong"/>
          <w:rFonts w:ascii="Times New Roman" w:eastAsia="黑体" w:hAnsi="Times New Roman" w:cs="Times New Roman" w:hint="default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640"/>
        <w:rPr>
          <w:rStyle w:val="Strong"/>
          <w:rFonts w:ascii="Times New Roman" w:eastAsia="黑体" w:hAnsi="Times New Roman" w:cs="Times New Roman" w:hint="default"/>
          <w:b w:val="0"/>
          <w:spacing w:val="-4"/>
          <w:sz w:val="32"/>
          <w:szCs w:val="32"/>
          <w:highlight w:val="none"/>
        </w:rPr>
      </w:pPr>
    </w:p>
    <w:p>
      <w:pPr>
        <w:spacing w:line="560" w:lineRule="exact"/>
        <w:rPr>
          <w:rFonts w:ascii="Times New Roman" w:eastAsia="黑体" w:hAnsi="Times New Roman" w:cs="Times New Roman" w:hint="default"/>
          <w:bCs/>
          <w:sz w:val="32"/>
          <w:szCs w:val="32"/>
          <w:highlight w:val="none"/>
        </w:rPr>
        <w:sectPr>
          <w:pgSz w:w="11906" w:h="16838" w:orient="portrait"/>
          <w:pgMar w:top="1440" w:right="1558" w:bottom="1440" w:left="1800" w:header="851" w:footer="992" w:gutter="0"/>
          <w:pgBorders/>
          <w:cols w:num="1" w:space="425">
            <w:col w:w="8548" w:space="425"/>
          </w:cols>
          <w:docGrid w:type="lines" w:linePitch="312" w:charSpace="0"/>
        </w:sectPr>
      </w:pP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bCs/>
          <w:sz w:val="32"/>
          <w:szCs w:val="32"/>
          <w:highlight w:val="none"/>
        </w:rPr>
      </w:pPr>
      <w:r>
        <w:rPr>
          <w:rFonts w:ascii="Times New Roman" w:eastAsia="黑体" w:hAnsi="Times New Roman" w:cs="Times New Roman" w:hint="default"/>
          <w:bCs/>
          <w:sz w:val="32"/>
          <w:szCs w:val="32"/>
          <w:highlight w:val="none"/>
        </w:rPr>
        <w:t xml:space="preserve">一、基本情况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（一）项目概况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</w:rPr>
        <w:t xml:space="preserve">项目背景</w:t>
      </w:r>
    </w:p>
    <w:p>
      <w:pPr>
        <w:pStyle w:val="Title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Style w:val="Strong"/>
          <w:rFonts w:ascii="仿宋_GB2312" w:eastAsia="仿宋_GB2312" w:hAnsi="仿宋_GB2312" w:cs="仿宋_GB2312" w:hint="default"/>
          <w:b w:val="0"/>
          <w:bCs/>
          <w:spacing w:val="-4"/>
          <w:kern w:val="2"/>
          <w:sz w:val="32"/>
          <w:szCs w:val="32"/>
          <w:highlight w:val="none"/>
          <w:lang w:val="en-US" w:eastAsia="zh-CN" w:bidi="ar-SA"/>
        </w:rPr>
      </w:pPr>
      <w:r>
        <w:rPr>
          <w:rStyle w:val="Strong"/>
          <w:rFonts w:ascii="仿宋_GB2312" w:eastAsia="仿宋_GB2312" w:hAnsi="仿宋_GB2312" w:cs="仿宋_GB2312" w:hint="default"/>
          <w:b w:val="0"/>
          <w:bCs/>
          <w:spacing w:val="-4"/>
          <w:kern w:val="2"/>
          <w:sz w:val="32"/>
          <w:szCs w:val="32"/>
          <w:highlight w:val="none"/>
          <w:lang w:val="en-US" w:eastAsia="zh-CN" w:bidi="ar-SA"/>
        </w:rPr>
        <w:t xml:space="preserve">随着行政事业单位</w:t>
      </w:r>
      <w:r>
        <w:rPr>
          <w:rStyle w:val="Strong"/>
          <w:rFonts w:ascii="仿宋_GB2312" w:eastAsia="仿宋_GB2312" w:hAnsi="仿宋_GB2312" w:cs="仿宋_GB2312" w:hint="eastAsia"/>
          <w:b w:val="0"/>
          <w:bCs/>
          <w:spacing w:val="-4"/>
          <w:kern w:val="2"/>
          <w:sz w:val="32"/>
          <w:szCs w:val="32"/>
          <w:highlight w:val="none"/>
          <w:lang w:val="en-US" w:eastAsia="zh-CN" w:bidi="ar-SA"/>
        </w:rPr>
        <w:t xml:space="preserve">各</w:t>
      </w:r>
      <w:r>
        <w:rPr>
          <w:rStyle w:val="Strong"/>
          <w:rFonts w:ascii="仿宋_GB2312" w:eastAsia="仿宋_GB2312" w:hAnsi="仿宋_GB2312" w:cs="仿宋_GB2312" w:hint="default"/>
          <w:b w:val="0"/>
          <w:bCs/>
          <w:spacing w:val="-4"/>
          <w:kern w:val="2"/>
          <w:sz w:val="32"/>
          <w:szCs w:val="32"/>
          <w:highlight w:val="none"/>
          <w:lang w:val="en-US" w:eastAsia="zh-CN" w:bidi="ar-SA"/>
        </w:rPr>
        <w:t xml:space="preserve">职能不断完善和经济社会发展，</w:t>
      </w:r>
      <w:r>
        <w:rPr>
          <w:rStyle w:val="Strong"/>
          <w:rFonts w:ascii="仿宋_GB2312" w:eastAsia="仿宋_GB2312" w:hAnsi="仿宋_GB2312" w:cs="仿宋_GB2312" w:hint="eastAsia"/>
          <w:b w:val="0"/>
          <w:bCs/>
          <w:spacing w:val="-4"/>
          <w:kern w:val="2"/>
          <w:sz w:val="32"/>
          <w:szCs w:val="32"/>
          <w:highlight w:val="none"/>
          <w:lang w:val="en-US" w:eastAsia="zh-CN" w:bidi="ar-SA"/>
        </w:rPr>
        <w:t xml:space="preserve">各单位</w:t>
      </w:r>
      <w:r>
        <w:rPr>
          <w:rStyle w:val="Strong"/>
          <w:rFonts w:ascii="仿宋_GB2312" w:eastAsia="仿宋_GB2312" w:hAnsi="仿宋_GB2312" w:cs="仿宋_GB2312" w:hint="default"/>
          <w:b w:val="0"/>
          <w:bCs/>
          <w:spacing w:val="-4"/>
          <w:kern w:val="2"/>
          <w:sz w:val="32"/>
          <w:szCs w:val="32"/>
          <w:highlight w:val="none"/>
          <w:lang w:val="en-US" w:eastAsia="zh-CN" w:bidi="ar-SA"/>
        </w:rPr>
        <w:t xml:space="preserve">增设新机构或原有机构人员扩充，现有办公场地无法满足需求。</w:t>
      </w:r>
      <w:r>
        <w:rPr>
          <w:rStyle w:val="Strong"/>
          <w:rFonts w:ascii="仿宋_GB2312" w:eastAsia="仿宋_GB2312" w:hAnsi="仿宋_GB2312" w:cs="仿宋_GB2312" w:hint="eastAsia"/>
          <w:b w:val="0"/>
          <w:bCs/>
          <w:spacing w:val="-4"/>
          <w:kern w:val="2"/>
          <w:sz w:val="32"/>
          <w:szCs w:val="32"/>
          <w:highlight w:val="none"/>
          <w:lang w:val="en-US" w:eastAsia="zh-CN" w:bidi="ar-SA"/>
        </w:rPr>
        <w:t xml:space="preserve">各单位</w:t>
      </w:r>
      <w:r>
        <w:rPr>
          <w:rStyle w:val="Strong"/>
          <w:rFonts w:ascii="仿宋_GB2312" w:eastAsia="仿宋_GB2312" w:hAnsi="仿宋_GB2312" w:cs="仿宋_GB2312" w:hint="default"/>
          <w:b w:val="0"/>
          <w:bCs/>
          <w:spacing w:val="-4"/>
          <w:kern w:val="2"/>
          <w:sz w:val="32"/>
          <w:szCs w:val="32"/>
          <w:highlight w:val="none"/>
          <w:lang w:val="en-US" w:eastAsia="zh-CN" w:bidi="ar-SA"/>
        </w:rPr>
        <w:t xml:space="preserve">对办公空间的功能有了新要求，如需要建设更先进的会议中心、政务服务大厅等，而现有办公场所难以改造实现。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Style w:val="Strong"/>
          <w:rFonts w:ascii="仿宋_GB2312" w:eastAsia="仿宋_GB2312" w:hAnsi="仿宋_GB2312" w:cs="仿宋_GB2312" w:hint="default"/>
          <w:b w:val="0"/>
          <w:spacing w:val="-4"/>
          <w:kern w:val="2"/>
          <w:sz w:val="32"/>
          <w:szCs w:val="32"/>
          <w:highlight w:val="none"/>
          <w:lang w:val="en-US" w:eastAsia="zh-CN" w:bidi="ar-SA"/>
        </w:rPr>
      </w:pPr>
      <w:r>
        <w:rPr>
          <w:rStyle w:val="Strong"/>
          <w:rFonts w:ascii="仿宋_GB2312" w:eastAsia="仿宋_GB2312" w:hAnsi="仿宋_GB2312" w:cs="仿宋_GB2312" w:hint="default"/>
          <w:b w:val="0"/>
          <w:spacing w:val="-4"/>
          <w:kern w:val="2"/>
          <w:sz w:val="32"/>
          <w:szCs w:val="32"/>
          <w:highlight w:val="none"/>
          <w:lang w:val="en-US" w:eastAsia="zh-CN" w:bidi="ar-SA"/>
        </w:rPr>
        <w:t xml:space="preserve">建设新的办公大楼需要投入大量的资金，包括土地购置、建筑施工、装修等费用，对于财政来说，一次性支出压力较大。租赁办公大楼可以将资金压力分散到多个租赁期内，减轻财政的短期负担。通过租赁办公大楼，可以避免因自有办公大楼的维护、修缮等产生的高额费用。同时，还能根据实际办公需求的变化，灵活调整租赁面积，避免资源闲置浪费，有效控制行政成本。</w:t>
      </w:r>
    </w:p>
    <w:p>
      <w:pPr>
        <w:pStyle w:val="Title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ascii="Times New Roman" w:eastAsia="仿宋_GB2312" w:hAnsi="Times New Roman" w:cs="Times New Roman" w:hint="default"/>
          <w:kern w:val="2"/>
          <w:highlight w:val="none"/>
        </w:rPr>
      </w:pPr>
      <w:r>
        <w:rPr>
          <w:rFonts w:ascii="Times New Roman" w:eastAsia="仿宋_GB2312" w:hAnsi="Times New Roman" w:cs="Times New Roman" w:hint="default"/>
          <w:kern w:val="2"/>
          <w:highlight w:val="none"/>
          <w:lang w:val="en-US" w:eastAsia="zh-CN"/>
        </w:rPr>
        <w:t xml:space="preserve">2.</w:t>
      </w:r>
      <w:r>
        <w:rPr>
          <w:rFonts w:ascii="Times New Roman" w:eastAsia="仿宋_GB2312" w:hAnsi="Times New Roman" w:cs="Times New Roman" w:hint="default"/>
          <w:kern w:val="2"/>
          <w:highlight w:val="none"/>
        </w:rPr>
        <w:t xml:space="preserve">项目主要内容：</w:t>
      </w:r>
    </w:p>
    <w:p>
      <w:pPr>
        <w:spacing w:line="560" w:lineRule="exact"/>
        <w:ind w:firstLine="600" w:firstLineChars="200"/>
        <w:rPr>
          <w:rFonts w:ascii="Times New Roman" w:eastAsia="黑体" w:hAnsi="Times New Roman" w:cs="Times New Roman" w:hint="default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0"/>
          <w:szCs w:val="30"/>
          <w:highlight w:val="none"/>
          <w:lang w:val="en-US" w:eastAsia="zh-CN"/>
        </w:rPr>
        <w:t xml:space="preserve">项目主要内容：</w:t>
      </w:r>
      <w:r>
        <w:rPr>
          <w:rFonts w:ascii="仿宋_GB2312" w:eastAsia="仿宋_GB2312" w:hAnsi="仿宋_GB2312" w:cs="仿宋_GB2312" w:hint="eastAsia"/>
          <w:sz w:val="32"/>
          <w:szCs w:val="32"/>
          <w:highlight w:val="none"/>
          <w:lang w:val="en-US" w:eastAsia="zh-CN"/>
        </w:rPr>
        <w:t xml:space="preserve">为保障全县各个单位工作的正常运行，提高全县在岗职工的工作效率，确保机关工作人员的基本工作需求，建立托里县国资大厦项目。</w:t>
      </w:r>
    </w:p>
    <w:p>
      <w:pPr>
        <w:spacing w:line="560" w:lineRule="exact"/>
        <w:ind w:firstLine="640" w:firstLineChars="200"/>
        <w:rPr>
          <w:rFonts w:ascii="Times New Roman" w:hAnsi="Times New Roman" w:cs="Times New Roman" w:hint="default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项目实施情况：</w:t>
      </w:r>
      <w:r>
        <w:rPr>
          <w:rFonts w:ascii="仿宋_GB2312" w:eastAsia="仿宋_GB2312" w:hAnsi="仿宋_GB2312" w:cs="仿宋_GB2312" w:hint="default"/>
          <w:sz w:val="32"/>
          <w:szCs w:val="32"/>
          <w:highlight w:val="none"/>
          <w:lang w:val="en-US" w:eastAsia="zh-CN"/>
        </w:rPr>
        <w:t xml:space="preserve">2020年至2023年国资大厦租赁项目预算资金293.52万元，用于2020年-2023年行政事业单位租赁国资大厦用作日常办工期间产生的累计4年租赁支出，为各个行政事业单位提供良好的办公环境，提高各单位职工的办公效率</w:t>
      </w:r>
      <w:r>
        <w:rPr>
          <w:rFonts w:ascii="仿宋_GB2312" w:eastAsia="仿宋_GB2312" w:hAnsi="仿宋_GB2312" w:cs="仿宋_GB2312" w:hint="eastAsia"/>
          <w:sz w:val="32"/>
          <w:szCs w:val="32"/>
          <w:highlight w:val="none"/>
          <w:lang w:val="en-US" w:eastAsia="zh-CN"/>
        </w:rPr>
        <w:t xml:space="preserve">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</w:rPr>
        <w:t xml:space="preserve">3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</w:rPr>
        <w:t xml:space="preserve">资金投入和使用情况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（1）资金投入情况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该项目年初预算数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293.52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万元，全年预算数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293.52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万元，该项目资金已全部落实到位，资金来源为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财政拨款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（2）资金使用情况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eastAsia="仿宋_GB2312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该项目年初预算数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293.52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万元，全年预算数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293.52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</w:t>
      </w:r>
      <w:r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  <w:t xml:space="preserve">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，全年执行数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293.52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万元，预算执行率为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%，主要用于</w:t>
      </w:r>
      <w:r>
        <w:rPr>
          <w:rFonts w:eastAsia="仿宋_GB2312" w:cs="Times New Roman" w:hint="default"/>
          <w:sz w:val="32"/>
          <w:szCs w:val="32"/>
          <w:highlight w:val="none"/>
          <w:lang w:val="en-US" w:eastAsia="zh-CN"/>
        </w:rPr>
        <w:t xml:space="preserve">：2020年-2023年行政事业单位租赁国资大厦用作日常办工期间产生的累计4年租赁支出。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（二）项目绩效目标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总体目标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2020年至2023年国资大厦租赁项目预算资金293.52万元，用于2020年-2023年行政事业单位租赁国资大厦用作日常办工期间产生的累计4年租赁支出，为各个行政事业单位提供良好的办公环境，提高各单位职工的办公效率，群众满意度95%.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2.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阶段性目标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 一、前期阶段：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1. 需求调研与筹备阶段 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- 明确需求：梳理单位承租目的，确定面积、区位、配套设施等核心需求清单。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 - 市场调研：分析目标区域租赁市场房源供应、租金水平、空置率及价格趋势，形成备选方案。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 - 预算规划：结合财务状况制定承租预算，明确租金支付、装修改造、运维成本等资金安排。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2. 资源筛选与谈判阶段 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- 房源筛选：实地考察候选项目，形成对比评估报告。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- 方案优化：根据调研结果，优化承租需求优先级，制定多套备选方案以应对市场变化。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 - 商务谈判：与出租方展开租金、租期、押金、违约责任等条款谈判，力争获取最优承租条件，达成初步合作意向。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二、实施阶段 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1. 签约与落地阶段 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- 合同签订：完成租赁合同法律条款审核，规避潜在风险，确保权责明晰，正式签订租赁合同。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- 入驻筹备：制定装修计划，完成交接、设施验收、证照办理等工作，确保按时入驻。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 - 成本管控：控制前期投入成本，确保装修、设备采购等费用不超预算，建立成本监控机制。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 三、管理阶段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2. 运营与优化阶段 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- 日常管理：建立使用规范，定期检查设施维护情况，确保物业安全稳定运行。</w:t>
      </w:r>
    </w:p>
    <w:p>
      <w:pPr>
        <w:spacing w:line="560" w:lineRule="exact"/>
        <w:ind w:firstLine="640" w:firstLineChars="200"/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</w:pP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- 成本优化：根据实际使用情况调整能源、维护等费用支出，通过节能改造等措施降低长期运营成本。</w:t>
      </w: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二、绩效评价工作开展情况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（一）绩效评价目的、对象和范围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1.绩效评价完整性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在数据收集与分析环节，采用了多种科学合理的方法，如实地调研、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数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2.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绩效评价的目的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（1）评估项目实施效果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通过对项目预算执行情况及各项绩效目标达成程度的系统性分析，全面、客观地评估项目在预定周期内的实施效果，包括经济效益、社会效益等多维度指标，为项目后续的改进与优化提供科学依据。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（2）提升资源利用效率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（3）强化项目管理责任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（4）为决策提供支持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（5）促进项目持续改进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方正仿宋_GBK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绩效评价的对象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本项目预算绩效评价报告的评价对象是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托里县国资大厦租赁费项目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及其预算执行情况。该项目由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托里县机关事务服务中心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负责实施，旨在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保障全县各个行政事业单位平稳正常的运行，为职工提供一个基本的工作环境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。项目预算涵盖从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2024年1月1日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至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2024年12月31日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的全部资金投入与支出，涉及资金总额为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293.52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万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元。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4.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绩效评价的范围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pStyle w:val="Title"/>
        <w:widowControl w:val="0"/>
        <w:numPr>
          <w:ilvl w:val="0"/>
          <w:numId w:val="3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项目预算编制与执行：全面审视项目预算的编制依据、合理性、科学性以及实际执行情况，包括预算调整的原因和效果。</w:t>
      </w:r>
    </w:p>
    <w:p>
      <w:pPr>
        <w:pStyle w:val="Title"/>
        <w:widowControl w:val="0"/>
        <w:numPr>
          <w:ilvl w:val="0"/>
          <w:numId w:val="3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资金管理：深入分析项目资金的分配、使用和监管情况，确保资金使用的合规性、高效性和透明度。</w:t>
      </w:r>
    </w:p>
    <w:p>
      <w:pPr>
        <w:pStyle w:val="Title"/>
        <w:widowControl w:val="0"/>
        <w:numPr>
          <w:ilvl w:val="0"/>
          <w:numId w:val="3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项目实施进度与产出：评估项目是否按照既定计划顺利推进，各项任务是否按时完成，以及项目产出的数量、质量和时效性是否符合预期。</w:t>
      </w:r>
    </w:p>
    <w:p>
      <w:pPr>
        <w:pStyle w:val="Title"/>
        <w:widowControl w:val="0"/>
        <w:numPr>
          <w:ilvl w:val="0"/>
          <w:numId w:val="3"/>
        </w:numPr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社会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eastAsia="zh-CN"/>
        </w:rPr>
        <w:t xml:space="preserve">、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经济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影响：考察项目对社会、经济等方面的综合影响。</w:t>
      </w:r>
    </w:p>
    <w:p>
      <w:pPr>
        <w:spacing w:line="560" w:lineRule="exact"/>
        <w:ind w:firstLine="640" w:firstLineChars="200"/>
        <w:rPr>
          <w:rFonts w:ascii="Times New Roman" w:hAnsi="Times New Roman" w:cs="Times New Roman" w:hint="default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（二）绩效评价原则、评价指标体系（详情见表1）、评价方法、评价标准。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绩效评价原则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z w:val="32"/>
          <w:szCs w:val="32"/>
          <w:highlight w:val="none"/>
        </w:rPr>
        <w:t xml:space="preserve">本次项目绩效评价遵循以下基本原则：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（1）科学公正。绩效评价应当运用科学合理的方法，按照规范的程序，对项目绩效进行客观、公正的反映。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</w:p>
    <w:p>
      <w:pPr>
        <w:pStyle w:val="Title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（4）公开透明。绩效评价结果应依法依规公开，并自觉接受社会监督。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2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评价指标体系</w:t>
      </w:r>
    </w:p>
    <w:p>
      <w:pPr>
        <w:spacing w:line="560" w:lineRule="exact"/>
        <w:ind w:firstLine="640" w:firstLineChars="200"/>
        <w:rPr>
          <w:rFonts w:ascii="Times New Roman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绩效评价框架是开展绩效评价的核心。绩效评价框架包括评价准则、关键评价问题、评价指标、数据来源、数据收集方法等。指标体系建立过程如下：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（1）确定评价指标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（2）确定权重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FF0000"/>
          <w:spacing w:val="17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（3）确定指标标准值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</w:p>
    <w:p>
      <w:pPr>
        <w:pStyle w:val="Title"/>
        <w:spacing w:before="0" w:after="0" w:line="560" w:lineRule="exact"/>
        <w:ind w:firstLine="640" w:firstLineChars="200"/>
        <w:jc w:val="both"/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kern w:val="2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kern w:val="2"/>
          <w:highlight w:val="none"/>
        </w:rPr>
        <w:t xml:space="preserve">绩效评价总分值100分，根据综合评分结果，90（含）-100分为优、80（含）-90分为良、60（含）-80分为中、60分以下为差。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000000"/>
          <w:spacing w:val="17"/>
          <w:highlight w:val="none"/>
        </w:rPr>
        <w:t xml:space="preserve">具体评价指标体系详情见附件1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3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绩效评价方法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（一）成本效益分析法。是指将投入与产出、效益进行关联性分析的方法。 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我单位选用该方法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可以帮助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单位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评估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租赁办公楼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的成本与带来的效益。成本主要是支付给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国资公司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的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租赁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费用等，效益则包括提升办公效率、推动财政经济循环、提升政府形象等。通过分析，政府能确定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租赁办公大楼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是否能以合理的成本获得足够的效益，从而做出科学的决策。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二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）最低成本法。是指在绩效目标确定的前提下，成本最小者为优的方法。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我单位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在明确政府办公空间、功能、服务水平等需求的基础上，将各方案的成本进行量化比较，通过剔除成本较高的方案，筛选出成本最低且能满足基础需求的选项。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（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三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）公众评判法。是指通过专家评估、公众问卷及抽样调查等方式进行评判的方法。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我单位选用该方法，能够了解各职能部门对该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项目的看法，发现项目实施过程中存在的问题，以便及时改进和完善，提高项目的实施效果和</w:t>
      </w:r>
      <w:r>
        <w:rPr>
          <w:rFonts w:eastAsia="仿宋_GB2312" w:cs="Times New Roman" w:hint="eastAsia"/>
          <w:color w:val="000000"/>
          <w:spacing w:val="17"/>
          <w:sz w:val="32"/>
          <w:szCs w:val="32"/>
          <w:highlight w:val="none"/>
          <w:lang w:val="en-US" w:eastAsia="zh-CN"/>
        </w:rPr>
        <w:t xml:space="preserve">各单位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满意度。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4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评价标准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绩效评价标准通常包括计划标准、行业标准、历史标准等，用于对绩效指标完成情况进行比较、分析、评价。本次评价主要采用了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计划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标准。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eastAsia"/>
          <w:b w:val="0"/>
          <w:bCs w:val="0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b w:val="0"/>
          <w:bCs w:val="0"/>
          <w:lang w:val="en-US" w:eastAsia="zh-CN"/>
        </w:rPr>
        <w:t xml:space="preserve">1</w:t>
      </w:r>
      <w:r>
        <w:rPr>
          <w:rFonts w:ascii="Times New Roman" w:eastAsia="仿宋_GB2312" w:hAnsi="Times New Roman" w:cs="Times New Roman" w:hint="default"/>
          <w:b w:val="0"/>
          <w:bCs w:val="0"/>
          <w:lang w:eastAsia="zh-CN"/>
        </w:rPr>
        <w:t xml:space="preserve">）</w:t>
      </w:r>
      <w:r>
        <w:rPr>
          <w:rFonts w:ascii="Times New Roman" w:eastAsia="仿宋_GB2312" w:hAnsi="Times New Roman" w:cs="Times New Roman" w:hint="default"/>
          <w:b w:val="0"/>
          <w:bCs w:val="0"/>
        </w:rPr>
        <w:t xml:space="preserve">计划标准。指以预先制定的目标、计划、预算、定额等作为评价标准。</w:t>
      </w:r>
      <w:r>
        <w:rPr>
          <w:rFonts w:ascii="Times New Roman" w:eastAsia="仿宋_GB2312" w:hAnsi="Times New Roman" w:cs="Times New Roman" w:hint="eastAsia"/>
          <w:b w:val="0"/>
          <w:bCs w:val="0"/>
          <w:lang w:val="en-US" w:eastAsia="zh-CN"/>
        </w:rPr>
        <w:t xml:space="preserve">我单位</w:t>
      </w:r>
      <w:r>
        <w:rPr>
          <w:rFonts w:ascii="Times New Roman" w:eastAsia="仿宋_GB2312" w:hAnsi="Times New Roman" w:cs="Times New Roman" w:hint="default"/>
          <w:b w:val="0"/>
          <w:bCs w:val="0"/>
        </w:rPr>
        <w:t xml:space="preserve">通过明确计划标准，在项目实施过程中可以将实际成本和效益与计划标准进行对比，及时发现偏差并采取调整措施，确保项目在成本控制范围内实现预期效益。同时，计划标准也为项目的决策提供了量化的参考依据，有助于评估项目的可行性和合理性</w:t>
      </w:r>
      <w:r>
        <w:rPr>
          <w:rFonts w:ascii="Times New Roman" w:eastAsia="仿宋_GB2312" w:hAnsi="Times New Roman" w:cs="Times New Roman" w:hint="eastAsia"/>
          <w:b w:val="0"/>
          <w:bCs w:val="0"/>
          <w:lang w:eastAsia="zh-CN"/>
        </w:rPr>
        <w:t xml:space="preserve">。能够更全面、细致地指导</w:t>
      </w:r>
      <w:r>
        <w:rPr>
          <w:rFonts w:ascii="Times New Roman" w:eastAsia="仿宋_GB2312" w:hAnsi="Times New Roman" w:cs="Times New Roman" w:hint="eastAsia"/>
          <w:b w:val="0"/>
          <w:bCs w:val="0"/>
          <w:lang w:val="en-US" w:eastAsia="zh-CN"/>
        </w:rPr>
        <w:t xml:space="preserve">该</w:t>
      </w:r>
      <w:r>
        <w:rPr>
          <w:rFonts w:ascii="Times New Roman" w:eastAsia="仿宋_GB2312" w:hAnsi="Times New Roman" w:cs="Times New Roman" w:hint="eastAsia"/>
          <w:b w:val="0"/>
          <w:bCs w:val="0"/>
          <w:lang w:eastAsia="zh-CN"/>
        </w:rPr>
        <w:t xml:space="preserve">项目的实施，确保项目在各个方面都能达到预期的目标，实现成本效益的最优化。</w:t>
      </w:r>
    </w:p>
    <w:p>
      <w:pPr>
        <w:rPr>
          <w:rFonts w:hint="default"/>
        </w:rPr>
      </w:pPr>
    </w:p>
    <w:p>
      <w:pPr>
        <w:pStyle w:val="Title"/>
        <w:numPr>
          <w:ilvl w:val="0"/>
          <w:numId w:val="6"/>
        </w:numPr>
        <w:spacing w:before="0" w:after="0" w:line="560" w:lineRule="exact"/>
        <w:ind w:firstLine="640" w:firstLineChars="200"/>
        <w:jc w:val="both"/>
        <w:rPr>
          <w:rFonts w:ascii="Times New Roman" w:eastAsia="楷体" w:hAnsi="Times New Roman" w:cs="Times New Roman" w:hint="default"/>
          <w:color w:val="000000"/>
          <w:spacing w:val="17"/>
          <w:highlight w:val="none"/>
        </w:rPr>
      </w:pPr>
      <w:r>
        <w:rPr>
          <w:rFonts w:ascii="Times New Roman" w:eastAsia="楷体" w:hAnsi="Times New Roman" w:cs="Times New Roman" w:hint="default"/>
          <w:color w:val="000000"/>
          <w:spacing w:val="17"/>
          <w:highlight w:val="none"/>
        </w:rPr>
        <w:t xml:space="preserve">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1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前期准备与规划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）指标体系构建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依据项目的性质、目标以及预期成果，构建了科学合理的绩效评价指标体系。该指标体系涵盖了</w:t>
      </w:r>
      <w:r>
        <w:rPr>
          <w:rFonts w:ascii="Times New Roman" w:eastAsia="仿宋_GB2312" w:hAnsi="Times New Roman" w:cs="Times New Roman" w:hint="default"/>
          <w:color w:val="000000"/>
          <w:spacing w:val="17"/>
          <w:sz w:val="32"/>
          <w:szCs w:val="32"/>
          <w:highlight w:val="none"/>
        </w:rPr>
        <w:t xml:space="preserve">项目决策、项目过程、项目产出、项目效益四个维度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，选取了具有代表性和可衡量性的关键指标，并为每个指标设定了明确的评价标准与权重，确保评价结果能够全面、准确地反映项目的绩效状况。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）数据收集与整理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4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）数据分析与评估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）报告撰写与反馈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（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6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）后续跟踪与改进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numPr>
          <w:ilvl w:val="0"/>
          <w:numId w:val="5"/>
        </w:numPr>
        <w:spacing w:line="560" w:lineRule="exact"/>
        <w:ind w:firstLine="640" w:firstLineChars="200"/>
        <w:rPr>
          <w:rFonts w:ascii="Times New Roman" w:eastAsia="黑体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综合评价情况及评价结论（附相关评分表）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Times New Roman" w:eastAsia="楷体_GB2312" w:hAnsi="Times New Roman" w:cs="Times New Roman" w:hint="default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default"/>
          <w:highlight w:val="none"/>
          <w:lang w:eastAsia="zh-CN"/>
        </w:rPr>
        <w:t xml:space="preserve">（</w:t>
      </w:r>
      <w:r>
        <w:rPr>
          <w:rFonts w:ascii="Times New Roman" w:eastAsia="楷体_GB2312" w:hAnsi="Times New Roman" w:cs="Times New Roman" w:hint="default"/>
          <w:highlight w:val="none"/>
          <w:lang w:val="en-US" w:eastAsia="zh-CN"/>
        </w:rPr>
        <w:t xml:space="preserve">一</w:t>
      </w:r>
      <w:r>
        <w:rPr>
          <w:rFonts w:ascii="Times New Roman" w:eastAsia="楷体_GB2312" w:hAnsi="Times New Roman" w:cs="Times New Roman" w:hint="default"/>
          <w:highlight w:val="none"/>
          <w:lang w:eastAsia="zh-CN"/>
        </w:rPr>
        <w:t xml:space="preserve">）</w:t>
      </w:r>
      <w:r>
        <w:rPr>
          <w:rFonts w:ascii="Times New Roman" w:eastAsia="楷体_GB2312" w:hAnsi="Times New Roman" w:cs="Times New Roman" w:hint="default"/>
          <w:highlight w:val="none"/>
          <w:lang w:val="en-US" w:eastAsia="zh-CN"/>
        </w:rPr>
        <w:t xml:space="preserve">评价情况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本项目的综合评价基于对项目各方面绩效的深入分析与评估。从项目目标的达成情况来看，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2024年其他项目类-2020年至2023年国资大厦租赁费项目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租赁年数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、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项目质量完成率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等方面表现出色，达到了预期的标准与要求。同时，项目也在</w:t>
      </w:r>
      <w:r>
        <w:rPr>
          <w:rFonts w:eastAsia="仿宋_GB2312" w:cs="Times New Roman" w:hint="eastAsia"/>
          <w:color w:val="auto"/>
          <w:sz w:val="32"/>
          <w:szCs w:val="32"/>
          <w:highlight w:val="none"/>
          <w:lang w:val="en-US" w:eastAsia="zh-CN"/>
        </w:rPr>
        <w:t xml:space="preserve">保障公务运转和社会经济发展上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取得了显著的成效，如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推动了财政的经济循环和提升了职工的办公效率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等。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在项目管理方面，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机关事务服务中心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通过有效的规划、组织与协调，项目得以顺利实施，并在预算与时间上保持了良好的控制。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从项目效益的角度来看，本项目不仅实现了预期的社会效益、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经济效益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等方面产生了积极的影响。具体而言，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在提高职工办公效率和推动财政经济循环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等方面的提升，为项目的利益相关者带来了实实在在的利益。</w:t>
      </w:r>
    </w:p>
    <w:p>
      <w:pPr>
        <w:pStyle w:val="Normal(Web)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ascii="Times New Roman" w:hAnsi="Times New Roman" w:cs="Times New Roman" w:hint="default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综上所述，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2024年其他项目类-2020年至2023年国资大厦租赁费项目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在绩效评价中表现出色，达到了项目的预期目标，并在多个方面取得了显著的成效。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Times New Roman" w:eastAsia="楷体_GB2312" w:hAnsi="Times New Roman" w:cs="Times New Roman" w:hint="default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default"/>
          <w:highlight w:val="none"/>
          <w:lang w:eastAsia="zh-CN"/>
        </w:rPr>
        <w:t xml:space="preserve">（</w:t>
      </w:r>
      <w:r>
        <w:rPr>
          <w:rFonts w:ascii="Times New Roman" w:eastAsia="楷体_GB2312" w:hAnsi="Times New Roman" w:cs="Times New Roman" w:hint="default"/>
          <w:highlight w:val="none"/>
          <w:lang w:val="en-US" w:eastAsia="zh-CN"/>
        </w:rPr>
        <w:t xml:space="preserve">二</w:t>
      </w:r>
      <w:r>
        <w:rPr>
          <w:rFonts w:ascii="Times New Roman" w:eastAsia="楷体_GB2312" w:hAnsi="Times New Roman" w:cs="Times New Roman" w:hint="default"/>
          <w:highlight w:val="none"/>
          <w:lang w:eastAsia="zh-CN"/>
        </w:rPr>
        <w:t xml:space="preserve">）</w:t>
      </w:r>
      <w:r>
        <w:rPr>
          <w:rFonts w:ascii="Times New Roman" w:eastAsia="楷体_GB2312" w:hAnsi="Times New Roman" w:cs="Times New Roman" w:hint="default"/>
          <w:highlight w:val="none"/>
          <w:lang w:val="en-US" w:eastAsia="zh-CN"/>
        </w:rPr>
        <w:t xml:space="preserve">评价结论</w:t>
      </w:r>
    </w:p>
    <w:p>
      <w:pPr>
        <w:pStyle w:val="Title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分，属于“优”。其中，项目决策类指标权重为20分，得分为 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 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%。项目过程类指标权重为20分，得分为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%。项目产出类指标权重为40分，得分为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40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 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%。项目效益类指标权重为20分，得分为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分，得分率为</w:t>
      </w:r>
      <w:r>
        <w:rPr>
          <w:rFonts w:ascii="Times New Roman" w:eastAsia="仿宋_GB2312" w:hAnsi="Times New Roman" w:cs="Times New Roman" w:hint="eastAsia"/>
          <w:b w:val="0"/>
          <w:bCs w:val="0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</w:rPr>
        <w:t xml:space="preserve">%。具体打分情况详见：附件1综合评分表</w:t>
      </w:r>
      <w:r>
        <w:rPr>
          <w:rFonts w:ascii="Times New Roman" w:eastAsia="仿宋_GB2312" w:hAnsi="Times New Roman" w:cs="Times New Roman" w:hint="default"/>
          <w:b w:val="0"/>
          <w:bCs w:val="0"/>
          <w:highlight w:val="none"/>
          <w:lang w:eastAsia="zh-CN"/>
        </w:rPr>
        <w:t xml:space="preserve">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ascii="Times New Roman" w:eastAsia="仿宋_GB2312" w:hAnsi="Times New Roman" w:cs="Times New Roman" w:hint="default"/>
          <w:sz w:val="21"/>
          <w:szCs w:val="21"/>
          <w:highlight w:val="none"/>
        </w:rPr>
      </w:pPr>
      <w:r>
        <w:rPr>
          <w:rFonts w:ascii="Times New Roman" w:eastAsia="仿宋_GB2312" w:hAnsi="Times New Roman" w:cs="Times New Roman" w:hint="default"/>
          <w:sz w:val="21"/>
          <w:szCs w:val="21"/>
          <w:highlight w:val="none"/>
        </w:rPr>
        <w:t xml:space="preserve">表1综合评分表</w:t>
      </w:r>
    </w:p>
    <w:tbl>
      <w:tblPr>
        <w:tblStyle w:val="NormalTable"/>
        <w:tblW w:w="4998" w:type="pct"/>
        <w:jc w:val="center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787"/>
        <w:gridCol w:w="1927"/>
        <w:gridCol w:w="2023"/>
        <w:gridCol w:w="2023"/>
      </w:tblGrid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tblHeader/>
          <w:jc w:val="center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一级指标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权重分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得分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得分率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项目决策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项目过程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项目产出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40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40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  <w:t xml:space="preserve">项目效益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  <w:tr>
        <w:tblPrEx>
          <w:tblW w:w="4998" w:type="pc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  <w:t xml:space="preserve">合计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仿宋_GB2312" w:cs="Times New Roman" w:hint="eastAsia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eastAsia="仿宋_GB2312" w:cs="Times New Roman" w:hint="eastAsia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100%</w:t>
            </w:r>
          </w:p>
        </w:tc>
      </w:tr>
    </w:tbl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四、绩效评价指标分析</w:t>
      </w:r>
    </w:p>
    <w:p>
      <w:pPr>
        <w:pStyle w:val="Title"/>
        <w:spacing w:before="0" w:after="0" w:line="560" w:lineRule="exact"/>
        <w:ind w:firstLine="640" w:firstLineChars="200"/>
        <w:jc w:val="both"/>
        <w:rPr>
          <w:rFonts w:ascii="Times New Roman" w:eastAsia="楷体_GB2312" w:hAnsi="Times New Roman" w:cs="Times New Roman" w:hint="default"/>
          <w:highlight w:val="none"/>
        </w:rPr>
      </w:pPr>
      <w:r>
        <w:rPr>
          <w:rFonts w:ascii="Times New Roman" w:eastAsia="楷体_GB2312" w:hAnsi="Times New Roman" w:cs="Times New Roman" w:hint="default"/>
          <w:highlight w:val="none"/>
        </w:rPr>
        <w:t xml:space="preserve">（一）项目决策情况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项目决策类指标包括项目立项、绩效目标和资金投入三方面的内容，由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6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个三级指标构成，权重分值为20分，实际得分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1.项目立项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（1）立项依据充分性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（2）立项程序规范性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项目申请、设立过程符合相关要求，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严格按照审批流程准备符合要求的文件、材料；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2.绩效目标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（1）绩效目标合理性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/>
        </w:rPr>
        <w:t xml:space="preserve">年初结合实际工作内容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设定绩效目标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/>
        </w:rPr>
        <w:t xml:space="preserve">，绩效目标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（2）绩效指标明确性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3.资金投入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（1）预算编制科学性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在预算编制过程中，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还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（2）资金分配合理性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pStyle w:val="Title"/>
        <w:numPr>
          <w:ilvl w:val="0"/>
          <w:numId w:val="7"/>
        </w:numPr>
        <w:spacing w:before="0" w:after="0" w:line="560" w:lineRule="exact"/>
        <w:ind w:left="-13" w:firstLine="643" w:leftChars="0" w:firstLineChars="0"/>
        <w:jc w:val="both"/>
        <w:rPr>
          <w:rFonts w:ascii="Times New Roman" w:eastAsia="楷体" w:hAnsi="Times New Roman" w:cs="Times New Roman" w:hint="default"/>
          <w:highlight w:val="none"/>
        </w:rPr>
      </w:pPr>
      <w:r>
        <w:rPr>
          <w:rFonts w:ascii="Times New Roman" w:eastAsia="楷体" w:hAnsi="Times New Roman" w:cs="Times New Roman" w:hint="default"/>
          <w:highlight w:val="none"/>
        </w:rPr>
        <w:t xml:space="preserve">项目过程情况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项目过程类指标包括资金管理和组织实施两方面的内容，由5个三级指标构成，权重分值为20分，实际得分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1.资金管理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（1）资金到位率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本项目总投资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293.52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万元，财政资金及时足额到位，到位率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%，预算资金按计划进度执行。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（2）预算执行率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预算编制较为详细，项目资金支出总体能够按照预算执行，预算资金支出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293.52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万元，预算执行率为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（3）资金使用合规性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0"/>
        <w:textAlignment w:val="auto"/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2.组织实施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（1）管理制度健全性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在制度设计上，我们注重了制度的科学性与可操作性，确保制度能够切实指导项目的执行与管理。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（2）制度执行有效性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本项目在执行过程中，管理制度得到了全面、有效的落实，为确保项目的顺利实施与目标实现提供了坚实的保障。项目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单位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重视制度执行的重要性，通过明确责任分工、制定详细执行计划、加强监督考核等措施，确保了各项管理制度能够得到有效执行。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eastAsia="zh-CN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pStyle w:val="BodyTextFirstIndent"/>
        <w:numPr>
          <w:ilvl w:val="0"/>
          <w:numId w:val="7"/>
        </w:numPr>
        <w:spacing w:line="560" w:lineRule="exact"/>
        <w:ind w:left="-13" w:firstLine="643" w:leftChars="0" w:firstLineChars="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项目产出</w:t>
      </w: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项目产出类指标包括产出数量、产出质量、产出时效、产出成本四方面的内容，由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5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个三级指标构成，权重分为40分，实际得分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%。具体产出指标完成情况如下：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instrText xml:space="preserve"> = 1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①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数量指标：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租赁年数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4年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4年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%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instrText xml:space="preserve"> = 2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②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质量指标：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项目完成质量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%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instrText xml:space="preserve"> = 3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③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时效指标：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资金支付及时率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%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begin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instrText xml:space="preserve"> = 4 \* GB3 </w:instrTex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separate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④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fldChar w:fldCharType="end"/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成本指标：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eastAsia="仿宋_GB2312" w:cs="Times New Roman" w:hint="eastAsia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2020年至2021年房屋租赁成本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103.52万元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103.52万元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%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2022年至2023年房租租赁成本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190万元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190万元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%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。</w:t>
      </w:r>
    </w:p>
    <w:p>
      <w:pPr>
        <w:pStyle w:val="BodyTextFirstIndent"/>
        <w:numPr>
          <w:ilvl w:val="0"/>
          <w:numId w:val="7"/>
        </w:numPr>
        <w:spacing w:line="560" w:lineRule="exact"/>
        <w:ind w:left="-13" w:firstLine="643" w:leftChars="0" w:firstLineChars="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项目效益情况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项目效益类指标包括项目实施效益和满意度两方面的内容，由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3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个三级指标构成，权重分为20分，实际得分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20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分，得分率为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%。具体效益指标及满意度指标完成情况如下：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color w:val="FF0000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1.实施效益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①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经济效益指标：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eastAsia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推动财政经济循环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有效推动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有效推动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%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②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社会效益指标：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eastAsia="仿宋_GB2312" w:cs="Times New Roman" w:hint="eastAsia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有效提升办公效率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有效提升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有效提升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%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2.满意度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eastAsia="仿宋_GB2312" w:cs="Times New Roman" w:hint="eastAsia"/>
          <w:sz w:val="32"/>
          <w:szCs w:val="32"/>
          <w:highlight w:val="none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指标1：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服务对象满意度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95%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，实际完成值：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95%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，指标完成率</w:t>
      </w:r>
      <w:r>
        <w:rPr>
          <w:rFonts w:eastAsia="仿宋_GB2312" w:cs="Times New Roman" w:hint="eastAsia"/>
          <w:sz w:val="32"/>
          <w:szCs w:val="32"/>
          <w:highlight w:val="none"/>
          <w:lang w:val="en-US" w:eastAsia="zh-CN"/>
        </w:rPr>
        <w:t xml:space="preserve">100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 %</w:t>
      </w:r>
      <w:r>
        <w:rPr>
          <w:rFonts w:eastAsia="仿宋_GB2312" w:cs="Times New Roman" w:hint="eastAsia"/>
          <w:sz w:val="32"/>
          <w:szCs w:val="32"/>
          <w:highlight w:val="none"/>
          <w:lang w:eastAsia="zh-CN"/>
        </w:rPr>
        <w:t xml:space="preserve">。</w:t>
      </w:r>
    </w:p>
    <w:p>
      <w:p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（五）</w:t>
      </w: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  <w:lang w:val="en-US"/>
        </w:rPr>
        <w:t xml:space="preserve">预算执行进度与绩效指标总体完成率偏差</w:t>
      </w:r>
    </w:p>
    <w:p>
      <w:pPr>
        <w:pStyle w:val="闻政-正文段落文字"/>
        <w:spacing w:line="560" w:lineRule="exact"/>
        <w:ind w:firstLine="640"/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2024年其他项目类-托里县国资大厦租赁费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项目年初预算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0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万元，全年预算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293.52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万元，实际支出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293.52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万元，预算执行率为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100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%，项目绩效指标总体完成率为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100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%，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bidi="ar-SA"/>
        </w:rPr>
        <w:t xml:space="preserve">总体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偏差率为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0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highlight w:val="none"/>
          <w:lang w:val="en-US" w:eastAsia="zh-CN" w:bidi="ar-SA"/>
        </w:rPr>
        <w:t xml:space="preserve">%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  <w:highlight w:val="none"/>
          <w:lang w:val="en-US" w:eastAsia="zh-CN" w:bidi="ar-SA"/>
        </w:rPr>
        <w:t xml:space="preserve">。</w:t>
      </w:r>
    </w:p>
    <w:p>
      <w:pPr>
        <w:spacing w:line="560" w:lineRule="exact"/>
        <w:ind w:firstLine="640" w:firstLineChars="200"/>
        <w:rPr>
          <w:rStyle w:val="fontstyle01"/>
          <w:rFonts w:ascii="Times New Roman" w:hAnsi="Times New Roman" w:cs="Times New Roman" w:hint="default"/>
          <w:color w:val="auto"/>
          <w:highlight w:val="none"/>
        </w:rPr>
      </w:pPr>
      <w:r>
        <w:rPr>
          <w:rFonts w:eastAsia="黑体" w:cs="Times New Roman" w:hint="eastAsia"/>
          <w:sz w:val="32"/>
          <w:szCs w:val="32"/>
          <w:highlight w:val="none"/>
          <w:lang w:val="en-US" w:eastAsia="zh-CN"/>
        </w:rPr>
        <w:t xml:space="preserve">五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主要经验及做法、存在的问题及原因分析</w:t>
      </w:r>
    </w:p>
    <w:p>
      <w:pPr>
        <w:spacing w:line="560" w:lineRule="exact"/>
        <w:ind w:firstLine="640" w:firstLineChars="200"/>
        <w:rPr>
          <w:rFonts w:ascii="Times New Roman" w:eastAsia="楷体" w:hAnsi="Times New Roman" w:cs="Times New Roman" w:hint="default"/>
          <w:b/>
          <w:spacing w:val="-4"/>
          <w:sz w:val="32"/>
          <w:szCs w:val="32"/>
          <w:highlight w:val="none"/>
        </w:rPr>
      </w:pPr>
      <w:r>
        <w:rPr>
          <w:rFonts w:ascii="Times New Roman" w:eastAsia="楷体" w:hAnsi="Times New Roman" w:cs="Times New Roman" w:hint="default"/>
          <w:b/>
          <w:spacing w:val="-4"/>
          <w:sz w:val="32"/>
          <w:szCs w:val="32"/>
          <w:highlight w:val="none"/>
        </w:rPr>
        <w:t xml:space="preserve">（一）主要经验及做法</w:t>
      </w:r>
    </w:p>
    <w:p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pStyle w:val="Title"/>
        <w:spacing w:before="0" w:after="0" w:line="560" w:lineRule="exact"/>
        <w:ind w:firstLine="640" w:firstLineChars="200"/>
        <w:jc w:val="left"/>
        <w:rPr>
          <w:rFonts w:ascii="Times New Roman" w:eastAsia="仿宋_GB2312" w:hAnsi="Times New Roman" w:cs="Times New Roman" w:hint="default"/>
          <w:b w:val="0"/>
          <w:bCs w:val="0"/>
          <w:kern w:val="2"/>
          <w:highlight w:val="none"/>
        </w:rPr>
      </w:pPr>
      <w:r>
        <w:rPr>
          <w:rFonts w:ascii="Times New Roman" w:eastAsia="仿宋_GB2312" w:hAnsi="Times New Roman" w:cs="Times New Roman" w:hint="default"/>
          <w:b w:val="0"/>
          <w:bCs w:val="0"/>
          <w:kern w:val="2"/>
          <w:highlight w:val="none"/>
        </w:rPr>
        <w:t xml:space="preserve">严格坚持先做事、后验收、再拨付的原则，</w:t>
      </w:r>
      <w:r>
        <w:rPr>
          <w:rFonts w:ascii="Times New Roman" w:eastAsia="仿宋_GB2312" w:hAnsi="Times New Roman" w:cs="Times New Roman" w:hint="eastAsia"/>
          <w:b w:val="0"/>
          <w:bCs w:val="0"/>
          <w:kern w:val="2"/>
          <w:highlight w:val="none"/>
          <w:lang w:eastAsia="zh-CN"/>
        </w:rPr>
        <w:t xml:space="preserve">杜绝</w:t>
      </w:r>
      <w:r>
        <w:rPr>
          <w:rFonts w:ascii="Times New Roman" w:eastAsia="仿宋_GB2312" w:hAnsi="Times New Roman" w:cs="Times New Roman" w:hint="default"/>
          <w:b w:val="0"/>
          <w:bCs w:val="0"/>
          <w:kern w:val="2"/>
          <w:highlight w:val="none"/>
        </w:rPr>
        <w:t xml:space="preserve"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keepNext/>
        <w:keepLines/>
        <w:numPr>
          <w:ilvl w:val="0"/>
          <w:numId w:val="4"/>
        </w:numPr>
        <w:spacing w:line="560" w:lineRule="exact"/>
        <w:ind w:firstLine="640" w:firstLineChars="200"/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</w:pPr>
      <w:r>
        <w:rPr>
          <w:rFonts w:ascii="Times New Roman" w:eastAsia="楷体_GB2312" w:hAnsi="Times New Roman" w:cs="Times New Roman" w:hint="default"/>
          <w:b/>
          <w:bCs/>
          <w:sz w:val="32"/>
          <w:szCs w:val="32"/>
          <w:highlight w:val="none"/>
        </w:rPr>
        <w:t xml:space="preserve">存在的问题及原因分析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1.相关绩效管理方面专业知识的系统性学习有待加强。各项指标的设置要进一步优化、完善，主要在细化、量化上改进。在绩效自评过程中，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由于部分人员</w:t>
      </w: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缺乏相关绩效管理专业知识，自评价工作还存在自我审定的局限性，影响评价质量。</w:t>
      </w: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黑体" w:hAnsi="Times New Roman" w:cs="Times New Roman" w:hint="eastAsia"/>
          <w:sz w:val="32"/>
          <w:szCs w:val="32"/>
          <w:highlight w:val="none"/>
          <w:lang w:val="en-US" w:eastAsia="zh-CN"/>
        </w:rPr>
        <w:t xml:space="preserve">六</w:t>
      </w:r>
      <w:r>
        <w:rPr>
          <w:rFonts w:ascii="Times New Roman" w:eastAsia="黑体" w:hAnsi="Times New Roman" w:cs="Times New Roman" w:hint="default"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有关建议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1.多进行有关绩效管理工作方面的培训。积极组织第三方开展绩效管理工作培训，进一步夯实业务基础，提高我单位绩效人员水平。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2.专门设定对绩效工作人员定职、定岗、定责等相关制度措施，进一步提升我单位绩效管理工作业务水平，扎实做好绩效管理工作。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hAnsi="Times New Roman" w:cs="Times New Roman" w:hint="default"/>
          <w:sz w:val="22"/>
          <w:szCs w:val="28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ascii="Times New Roman" w:eastAsia="仿宋_GB2312" w:hAnsi="Times New Roman" w:cs="Times New Roman" w:hint="default"/>
          <w:sz w:val="36"/>
          <w:szCs w:val="32"/>
          <w:highlight w:val="none"/>
        </w:rPr>
        <w:t xml:space="preserve">。</w:t>
      </w:r>
    </w:p>
    <w:p>
      <w:pPr>
        <w:shd w:val="clear" w:color="auto" w:fill="auto"/>
        <w:spacing w:line="600" w:lineRule="exact"/>
        <w:ind w:firstLine="640" w:firstLineChars="200"/>
        <w:outlineLvl w:val="0"/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  <w:lang w:val="en-US" w:eastAsia="zh-CN"/>
        </w:rPr>
        <w:t xml:space="preserve"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sz w:val="32"/>
          <w:szCs w:val="32"/>
          <w:highlight w:val="none"/>
        </w:rPr>
      </w:pPr>
      <w:r>
        <w:rPr>
          <w:rFonts w:eastAsia="黑体" w:cs="Times New Roman" w:hint="eastAsia"/>
          <w:sz w:val="32"/>
          <w:szCs w:val="32"/>
          <w:highlight w:val="none"/>
          <w:lang w:val="en-US" w:eastAsia="zh-CN"/>
        </w:rPr>
        <w:t xml:space="preserve">七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  <w:highlight w:val="none"/>
          <w:lang w:val="en-US" w:eastAsia="zh-CN"/>
        </w:rPr>
        <w:t xml:space="preserve">.</w:t>
      </w:r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其他需要说</w:t>
      </w:r>
      <w:bookmarkStart w:id="1" w:name="page8"/>
      <w:bookmarkEnd w:id="1"/>
      <w:r>
        <w:rPr>
          <w:rFonts w:ascii="Times New Roman" w:eastAsia="黑体" w:hAnsi="Times New Roman" w:cs="Times New Roman" w:hint="default"/>
          <w:sz w:val="32"/>
          <w:szCs w:val="32"/>
          <w:highlight w:val="none"/>
        </w:rPr>
        <w:t xml:space="preserve">明的问题</w:t>
      </w:r>
    </w:p>
    <w:p>
      <w:pPr>
        <w:pStyle w:val="BodyTextFirstIndent2"/>
        <w:spacing w:after="0" w:line="560" w:lineRule="exact"/>
        <w:ind w:left="0" w:firstLine="640" w:leftChars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  <w:r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  <w:t xml:space="preserve">本项目无其他需说明的问题。</w:t>
      </w:r>
    </w:p>
    <w:p>
      <w:pPr>
        <w:pStyle w:val="BodyTextFirstIndent2"/>
        <w:spacing w:after="0" w:line="560" w:lineRule="exact"/>
        <w:ind w:left="0" w:firstLine="640" w:leftChars="0"/>
        <w:rPr>
          <w:rFonts w:ascii="Times New Roman" w:eastAsia="仿宋_GB2312" w:hAnsi="Times New Roman" w:cs="Times New Roman" w:hint="default"/>
          <w:sz w:val="32"/>
          <w:szCs w:val="32"/>
          <w:highlight w:val="none"/>
        </w:rPr>
      </w:pP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147468962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13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decimal"/>
      <w:suff w:val="nothing"/>
      <w:lvlText w:val="（%1）"/>
      <w:lvlJc w:val="left"/>
      <w:rPr/>
    </w:lvl>
  </w:abstractNum>
  <w:abstractNum w:abstractNumId="3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multiLevelType w:val="singleLevel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multiLevelType w:val="singleLevel"/>
    <w:lvl w:ilvl="0">
      <w:start w:val="2"/>
      <w:numFmt w:val="chineseCounting"/>
      <w:suff w:val="nothing"/>
      <w:lvlText w:val="（%1）"/>
      <w:lvlJc w:val="left"/>
      <w:pPr>
        <w:ind w:left="-13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embedSystemFonts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MTdiOGM5NzlhN2JhOTc3OTljZTBmY2FhN2MzNTk3OD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 w:qFormat="1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1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 w:qFormat="1"/>
    <w:lsdException w:name="Body Text First Indent 2" w:semiHidden="0" w:uiPriority="0" w:unhideWhenUsed="0" w:qFormat="1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uiPriority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libri Light" w:eastAsia="宋体" w:hAnsi="Calibri Light" w:asciiTheme="majorHAnsi" w:eastAsiaTheme="majorEastAsia" w:hAnsiTheme="majorHAnsi"/>
      <w:b/>
      <w:bCs/>
      <w:kern w:val="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Comment Text"/>
    <w:basedOn w:val="Normal"/>
    <w:link w:val="批注文字字符"/>
    <w:qFormat/>
    <w:pPr>
      <w:jc w:val="left"/>
    </w:pPr>
    <w:rPr/>
  </w:style>
  <w:style w:type="paragraph" w:styleId="BodyText">
    <w:name w:val="Body Text"/>
    <w:basedOn w:val="Normal"/>
    <w:qFormat/>
    <w:pPr>
      <w:spacing w:after="120"/>
    </w:pPr>
    <w:rPr/>
  </w:style>
  <w:style w:type="paragraph" w:styleId="BodyTextIndent">
    <w:name w:val="Body Text Indent"/>
    <w:basedOn w:val="Normal"/>
    <w:qFormat/>
    <w:pPr>
      <w:spacing w:after="120"/>
      <w:ind w:left="420" w:leftChars="200"/>
    </w:pPr>
    <w:rPr>
      <w:rFonts w:ascii="Calibri" w:hAnsi="Calibri"/>
    </w:rPr>
  </w:style>
  <w:style w:type="paragraph" w:styleId="BalloonText">
    <w:name w:val="Balloon Text"/>
    <w:basedOn w:val="Normal"/>
    <w:link w:val="批注框文本字符"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Title">
    <w:name w:val="Title"/>
    <w:basedOn w:val="Normal"/>
    <w:next w:val="Normal"/>
    <w:uiPriority w:val="10"/>
    <w:qFormat/>
    <w:pPr>
      <w:widowControl/>
      <w:spacing w:before="240" w:after="60"/>
      <w:jc w:val="center"/>
      <w:outlineLvl w:val="0"/>
    </w:pPr>
    <w:rPr>
      <w:rFonts w:ascii="Calibri Light" w:eastAsia="宋体" w:hAnsi="Calibri Light" w:asciiTheme="majorHAnsi" w:eastAsiaTheme="majorEastAsia" w:hAnsiTheme="majorHAnsi"/>
      <w:b/>
      <w:bCs/>
      <w:kern w:val="28"/>
      <w:sz w:val="32"/>
      <w:szCs w:val="32"/>
    </w:rPr>
  </w:style>
  <w:style w:type="paragraph" w:styleId="CommentSubject">
    <w:name w:val="Comment Subject"/>
    <w:basedOn w:val="CommentText"/>
    <w:next w:val="CommentText"/>
    <w:link w:val="批注主题字符"/>
    <w:qFormat/>
    <w:rPr>
      <w:b/>
      <w:bCs/>
    </w:rPr>
  </w:style>
  <w:style w:type="paragraph" w:styleId="BodyTextFirstIndent">
    <w:name w:val="Body Text First Indent"/>
    <w:basedOn w:val="BodyText"/>
    <w:qFormat/>
    <w:pPr>
      <w:spacing w:after="0"/>
      <w:ind w:firstLine="200" w:firstLineChars="200"/>
    </w:pPr>
    <w:rPr/>
  </w:style>
  <w:style w:type="paragraph" w:styleId="BodyTextFirstIndent2">
    <w:name w:val="Body Text First Indent 2"/>
    <w:basedOn w:val="BodyTextIndent"/>
    <w:qFormat/>
    <w:pPr>
      <w:ind w:firstLine="420" w:firstLineChars="200"/>
    </w:pPr>
    <w:rPr/>
  </w:style>
  <w:style w:type="character" w:styleId="Strong">
    <w:name w:val="Strong"/>
    <w:basedOn w:val="DefaultParagraphFont"/>
    <w:qFormat/>
    <w:rPr>
      <w:b/>
      <w:bCs/>
    </w:rPr>
  </w:style>
  <w:style w:type="character" w:styleId="CommentReference">
    <w:name w:val="Comment Reference"/>
    <w:basedOn w:val="DefaultParagraphFont"/>
    <w:qFormat/>
    <w:rPr>
      <w:sz w:val="21"/>
      <w:szCs w:val="21"/>
    </w:rPr>
  </w:style>
  <w:style w:type="character" w:customStyle="1" w:styleId="fontstyle01">
    <w:name w:val="fontstyle01"/>
    <w:qFormat/>
    <w:rPr>
      <w:rFonts w:ascii="仿宋_GB2312" w:eastAsia="仿宋_GB2312" w:hAnsi="仿宋_GB2312" w:cs="仿宋_GB2312"/>
      <w:color w:val="000000"/>
      <w:sz w:val="32"/>
      <w:szCs w:val="32"/>
    </w:rPr>
  </w:style>
  <w:style w:type="paragraph" w:customStyle="1" w:styleId="闻政-正文段落文字">
    <w:name w:val="闻政-正文段落文字"/>
    <w:basedOn w:val="Normal"/>
    <w:uiPriority w:val="3"/>
    <w:qFormat/>
    <w:pPr>
      <w:spacing w:line="500" w:lineRule="exact"/>
      <w:ind w:firstLine="200"/>
    </w:pPr>
    <w:rPr>
      <w:kern w:val="0"/>
      <w:szCs w:val="28"/>
    </w:rPr>
  </w:style>
  <w:style w:type="character" w:customStyle="1" w:styleId="批注框文本字符">
    <w:name w:val="批注框文本 字符"/>
    <w:basedOn w:val="DefaultParagraphFont"/>
    <w:link w:val="BalloonText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页眉字符">
    <w:name w:val="页眉 字符"/>
    <w:basedOn w:val="DefaultParagraphFont"/>
    <w:link w:val="Header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批注文字字符">
    <w:name w:val="批注文字 字符"/>
    <w:basedOn w:val="DefaultParagraphFont"/>
    <w:link w:val="CommentText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批注主题字符">
    <w:name w:val="批注主题 字符"/>
    <w:basedOn w:val="批注文字字符"/>
    <w:link w:val="CommentSubject"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6622016382D44ECF882452EB14D9A9BB_13</vt:lpwstr>
  </property>
  <property fmtid="{D5CDD505-2E9C-101B-9397-08002B2CF9AE}" pid="4" name="KSOTemplateDocerSaveRecord">
    <vt:lpwstr>eyJoZGlkIjoiYTI0ODYyZDQ5NTNlZTRiZjgzZDg3MDBkMDhkNmQzYzkiLCJ1c2VySWQiOiIxMTM1NTQzMjIyIn0=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34</TotalTime>
  <Pages>22</Pages>
  <Words>1601</Words>
  <Characters>1712</Characters>
  <Application>WPS Office_12.1.0.21915_F1E327BC-269C-435d-A152-05C5408002CA</Application>
  <DocSecurity>0</DocSecurity>
  <Lines>58</Lines>
  <Paragraphs>16</Paragraphs>
  <CharactersWithSpaces>1738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温文尔雅.</cp:lastModifiedBy>
  <cp:revision>2</cp:revision>
  <cp:lastPrinted>2025-04-18T10:04:00Z</cp:lastPrinted>
  <dcterms:created xsi:type="dcterms:W3CDTF">2023-03-08T13:13:00Z</dcterms:created>
  <dcterms:modified xsi:type="dcterms:W3CDTF">2025-08-12T04:24:52Z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2052-12.1.0.21915</vt:lpwstr>
  </property>
  <property fmtid="{D5CDD505-2E9C-101B-9397-08002B2CF9AE}" pid="3" name="ICV">
    <vt:lpwstr>6622016382D44ECF882452EB14D9A9BB_13</vt:lpwstr>
  </property>
  <property fmtid="{D5CDD505-2E9C-101B-9397-08002B2CF9AE}" pid="4" name="KSOTemplateDocerSaveRecord">
    <vt:lpwstr>eyJoZGlkIjoiYTI0ODYyZDQ5NTNlZTRiZjgzZDg3MDBkMDhkNmQzYzkiLCJ1c2VySWQiOiIxMTM1NTQzMjIyIn0_x003D_</vt:lpwstr>
  </property>
</Properties>
</file>