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27964" w:type="dxa"/>
        <w:tblInd w:w="0" w:type="dxa"/>
        <w:tblLayout w:type="autofit"/>
        <w:tblCellMar>
          <w:top w:w="0" w:type="dxa"/>
          <w:left w:w="0" w:type="dxa"/>
          <w:bottom w:w="0" w:type="dxa"/>
          <w:right w:w="0" w:type="dxa"/>
        </w:tblCellMar>
      </w:tblPr>
      <w:tblGrid>
        <w:gridCol w:w="14199"/>
        <w:gridCol w:w="13765"/>
      </w:tblGrid>
      <w:tr w14:paraId="4AD71543">
        <w:tblPrEx>
          <w:tblCellMar>
            <w:top w:w="0" w:type="dxa"/>
            <w:left w:w="0" w:type="dxa"/>
            <w:bottom w:w="0" w:type="dxa"/>
            <w:right w:w="0" w:type="dxa"/>
          </w:tblCellMar>
        </w:tblPrEx>
        <w:trPr>
          <w:trHeight w:val="648" w:hRule="atLeast"/>
        </w:trPr>
        <w:tc>
          <w:tcPr>
            <w:tcW w:w="14199" w:type="dxa"/>
            <w:tcBorders>
              <w:top w:val="nil"/>
              <w:left w:val="nil"/>
              <w:bottom w:val="nil"/>
              <w:right w:val="nil"/>
            </w:tcBorders>
            <w:shd w:val="clear" w:color="auto" w:fill="auto"/>
            <w:noWrap/>
            <w:tcMar>
              <w:top w:w="12" w:type="dxa"/>
              <w:left w:w="12" w:type="dxa"/>
              <w:right w:w="12" w:type="dxa"/>
            </w:tcMar>
            <w:vAlign w:val="center"/>
          </w:tcPr>
          <w:p w14:paraId="499F62EF">
            <w:pPr>
              <w:widowControl/>
              <w:jc w:val="center"/>
              <w:textAlignment w:val="center"/>
              <w:rPr>
                <w:rFonts w:ascii="宋体" w:hAnsi="宋体" w:eastAsia="宋体" w:cs="宋体"/>
                <w:b/>
                <w:color w:val="000000"/>
                <w:sz w:val="52"/>
                <w:szCs w:val="52"/>
              </w:rPr>
            </w:pPr>
            <w:r>
              <w:rPr>
                <w:rFonts w:hint="eastAsia" w:ascii="宋体" w:hAnsi="宋体" w:eastAsia="宋体" w:cs="宋体"/>
                <w:b/>
                <w:color w:val="000000"/>
                <w:kern w:val="0"/>
                <w:sz w:val="52"/>
                <w:szCs w:val="52"/>
                <w:lang w:bidi="ar"/>
              </w:rPr>
              <w:t>托里县应急管理局行政处罚公示信息</w:t>
            </w:r>
          </w:p>
        </w:tc>
        <w:tc>
          <w:tcPr>
            <w:tcW w:w="13765" w:type="dxa"/>
            <w:tcBorders>
              <w:top w:val="nil"/>
              <w:left w:val="nil"/>
              <w:bottom w:val="nil"/>
              <w:right w:val="nil"/>
            </w:tcBorders>
            <w:shd w:val="clear" w:color="auto" w:fill="auto"/>
            <w:noWrap/>
            <w:tcMar>
              <w:top w:w="12" w:type="dxa"/>
              <w:left w:w="12" w:type="dxa"/>
              <w:right w:w="12" w:type="dxa"/>
            </w:tcMar>
            <w:vAlign w:val="center"/>
          </w:tcPr>
          <w:p w14:paraId="0AEB4ECB">
            <w:pPr>
              <w:widowControl/>
              <w:jc w:val="center"/>
              <w:textAlignment w:val="center"/>
              <w:rPr>
                <w:rFonts w:hint="eastAsia" w:ascii="宋体" w:hAnsi="宋体" w:eastAsia="宋体" w:cs="宋体"/>
                <w:b/>
                <w:color w:val="000000"/>
                <w:kern w:val="0"/>
                <w:sz w:val="52"/>
                <w:szCs w:val="52"/>
                <w:lang w:bidi="ar"/>
              </w:rPr>
            </w:pPr>
          </w:p>
        </w:tc>
      </w:tr>
      <w:tr w14:paraId="4BA1CBB3">
        <w:tblPrEx>
          <w:tblCellMar>
            <w:top w:w="0" w:type="dxa"/>
            <w:left w:w="0" w:type="dxa"/>
            <w:bottom w:w="0" w:type="dxa"/>
            <w:right w:w="0" w:type="dxa"/>
          </w:tblCellMar>
        </w:tblPrEx>
        <w:trPr>
          <w:trHeight w:val="6470" w:hRule="atLeast"/>
        </w:trPr>
        <w:tc>
          <w:tcPr>
            <w:tcW w:w="14199" w:type="dxa"/>
            <w:tcBorders>
              <w:top w:val="nil"/>
              <w:left w:val="nil"/>
              <w:bottom w:val="nil"/>
              <w:right w:val="nil"/>
            </w:tcBorders>
            <w:shd w:val="clear" w:color="auto" w:fill="auto"/>
            <w:noWrap/>
            <w:tcMar>
              <w:top w:w="12" w:type="dxa"/>
              <w:left w:w="12" w:type="dxa"/>
              <w:right w:w="12" w:type="dxa"/>
            </w:tcMar>
            <w:vAlign w:val="center"/>
          </w:tcPr>
          <w:p w14:paraId="241117B0">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填报单位：塔城地区托里县应急管理局</w:t>
            </w:r>
            <w:r>
              <w:rPr>
                <w:rFonts w:hint="eastAsia" w:ascii="宋体" w:hAnsi="宋体" w:eastAsia="宋体" w:cs="宋体"/>
                <w:color w:val="000000"/>
                <w:kern w:val="0"/>
                <w:sz w:val="24"/>
                <w:lang w:val="en-US" w:eastAsia="zh-CN" w:bidi="ar"/>
              </w:rPr>
              <w:t xml:space="preserve">                                                       </w:t>
            </w:r>
            <w:r>
              <w:rPr>
                <w:rFonts w:hint="eastAsia" w:ascii="宋体" w:hAnsi="宋体" w:eastAsia="宋体" w:cs="宋体"/>
                <w:color w:val="000000"/>
                <w:kern w:val="0"/>
                <w:sz w:val="24"/>
                <w:lang w:bidi="ar"/>
              </w:rPr>
              <w:t>填报时间:202</w:t>
            </w:r>
            <w:r>
              <w:rPr>
                <w:rFonts w:hint="eastAsia" w:ascii="宋体" w:hAnsi="宋体" w:eastAsia="宋体" w:cs="宋体"/>
                <w:color w:val="000000"/>
                <w:kern w:val="0"/>
                <w:sz w:val="24"/>
                <w:lang w:val="en-US" w:eastAsia="zh-CN" w:bidi="ar"/>
              </w:rPr>
              <w:t>5</w:t>
            </w:r>
            <w:r>
              <w:rPr>
                <w:rFonts w:hint="eastAsia" w:ascii="宋体" w:hAnsi="宋体" w:eastAsia="宋体" w:cs="宋体"/>
                <w:color w:val="000000"/>
                <w:kern w:val="0"/>
                <w:sz w:val="24"/>
                <w:lang w:bidi="ar"/>
              </w:rPr>
              <w:t>年</w:t>
            </w:r>
            <w:r>
              <w:rPr>
                <w:rFonts w:hint="eastAsia" w:ascii="宋体" w:hAnsi="宋体" w:eastAsia="宋体" w:cs="宋体"/>
                <w:color w:val="000000"/>
                <w:kern w:val="0"/>
                <w:sz w:val="24"/>
                <w:lang w:val="en-US" w:eastAsia="zh-CN" w:bidi="ar"/>
              </w:rPr>
              <w:t>11</w:t>
            </w:r>
            <w:r>
              <w:rPr>
                <w:rFonts w:hint="eastAsia" w:ascii="宋体" w:hAnsi="宋体" w:eastAsia="宋体" w:cs="宋体"/>
                <w:color w:val="000000"/>
                <w:kern w:val="0"/>
                <w:sz w:val="24"/>
                <w:lang w:bidi="ar"/>
              </w:rPr>
              <w:t>月</w:t>
            </w:r>
            <w:r>
              <w:rPr>
                <w:rFonts w:hint="eastAsia" w:ascii="宋体" w:hAnsi="宋体" w:eastAsia="宋体" w:cs="宋体"/>
                <w:color w:val="000000"/>
                <w:kern w:val="0"/>
                <w:sz w:val="24"/>
                <w:lang w:val="en-US" w:eastAsia="zh-CN" w:bidi="ar"/>
              </w:rPr>
              <w:t>3</w:t>
            </w:r>
            <w:bookmarkStart w:id="0" w:name="_GoBack"/>
            <w:bookmarkEnd w:id="0"/>
            <w:r>
              <w:rPr>
                <w:rFonts w:hint="eastAsia" w:ascii="宋体" w:hAnsi="宋体" w:eastAsia="宋体" w:cs="宋体"/>
                <w:color w:val="000000"/>
                <w:kern w:val="0"/>
                <w:sz w:val="24"/>
                <w:lang w:bidi="ar"/>
              </w:rPr>
              <w:t>日</w:t>
            </w:r>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606"/>
              <w:gridCol w:w="1569"/>
              <w:gridCol w:w="1371"/>
              <w:gridCol w:w="895"/>
              <w:gridCol w:w="2569"/>
              <w:gridCol w:w="748"/>
              <w:gridCol w:w="4716"/>
            </w:tblGrid>
            <w:tr w14:paraId="630D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8" w:hRule="atLeast"/>
              </w:trPr>
              <w:tc>
                <w:tcPr>
                  <w:tcW w:w="241" w:type="pct"/>
                  <w:vAlign w:val="center"/>
                </w:tcPr>
                <w:p w14:paraId="4B311558">
                  <w:pPr>
                    <w:widowControl/>
                    <w:jc w:val="center"/>
                    <w:textAlignment w:val="center"/>
                    <w:rPr>
                      <w:rFonts w:hint="eastAsia" w:ascii="宋体" w:hAnsi="宋体" w:eastAsia="宋体" w:cs="宋体"/>
                      <w:b/>
                      <w:color w:val="000000"/>
                      <w:kern w:val="2"/>
                      <w:sz w:val="24"/>
                      <w:szCs w:val="24"/>
                      <w:lang w:val="en-US" w:eastAsia="zh-CN" w:bidi="ar-SA"/>
                    </w:rPr>
                  </w:pPr>
                  <w:r>
                    <w:rPr>
                      <w:rFonts w:hint="eastAsia" w:ascii="宋体" w:hAnsi="宋体" w:eastAsia="宋体" w:cs="宋体"/>
                      <w:b/>
                      <w:color w:val="000000"/>
                      <w:kern w:val="0"/>
                      <w:sz w:val="24"/>
                      <w:szCs w:val="24"/>
                      <w:lang w:bidi="ar"/>
                    </w:rPr>
                    <w:t>序号</w:t>
                  </w:r>
                </w:p>
              </w:tc>
              <w:tc>
                <w:tcPr>
                  <w:tcW w:w="567" w:type="pct"/>
                  <w:vAlign w:val="center"/>
                </w:tcPr>
                <w:p w14:paraId="5CC2F71E">
                  <w:pPr>
                    <w:widowControl/>
                    <w:jc w:val="center"/>
                    <w:textAlignment w:val="center"/>
                    <w:rPr>
                      <w:rFonts w:hint="eastAsia" w:ascii="宋体" w:hAnsi="宋体" w:eastAsia="宋体" w:cs="宋体"/>
                      <w:b/>
                      <w:color w:val="000000"/>
                      <w:kern w:val="2"/>
                      <w:sz w:val="24"/>
                      <w:szCs w:val="24"/>
                      <w:lang w:val="en-US" w:eastAsia="zh-CN" w:bidi="ar-SA"/>
                    </w:rPr>
                  </w:pPr>
                  <w:r>
                    <w:rPr>
                      <w:rFonts w:hint="eastAsia" w:ascii="宋体" w:hAnsi="宋体" w:eastAsia="宋体" w:cs="宋体"/>
                      <w:b/>
                      <w:color w:val="000000"/>
                      <w:kern w:val="0"/>
                      <w:sz w:val="24"/>
                      <w:szCs w:val="24"/>
                      <w:lang w:bidi="ar"/>
                    </w:rPr>
                    <w:t>企业名称</w:t>
                  </w:r>
                </w:p>
              </w:tc>
              <w:tc>
                <w:tcPr>
                  <w:tcW w:w="554" w:type="pct"/>
                  <w:vAlign w:val="center"/>
                </w:tcPr>
                <w:p w14:paraId="2B9D8739">
                  <w:pPr>
                    <w:widowControl/>
                    <w:jc w:val="center"/>
                    <w:textAlignment w:val="center"/>
                    <w:rPr>
                      <w:rFonts w:hint="eastAsia" w:ascii="宋体" w:hAnsi="宋体" w:eastAsia="宋体" w:cs="宋体"/>
                      <w:b/>
                      <w:color w:val="000000"/>
                      <w:kern w:val="2"/>
                      <w:sz w:val="24"/>
                      <w:szCs w:val="24"/>
                      <w:lang w:val="en-US" w:eastAsia="zh-CN" w:bidi="ar-SA"/>
                    </w:rPr>
                  </w:pPr>
                  <w:r>
                    <w:rPr>
                      <w:rFonts w:hint="eastAsia" w:ascii="宋体" w:hAnsi="宋体" w:eastAsia="宋体" w:cs="宋体"/>
                      <w:b/>
                      <w:color w:val="000000"/>
                      <w:kern w:val="0"/>
                      <w:sz w:val="24"/>
                      <w:szCs w:val="24"/>
                      <w:lang w:val="en-US" w:eastAsia="zh-CN" w:bidi="ar"/>
                    </w:rPr>
                    <w:t>现场处理措施决定书</w:t>
                  </w:r>
                  <w:r>
                    <w:rPr>
                      <w:rFonts w:hint="eastAsia" w:ascii="宋体" w:hAnsi="宋体" w:eastAsia="宋体" w:cs="宋体"/>
                      <w:b/>
                      <w:color w:val="000000"/>
                      <w:kern w:val="0"/>
                      <w:sz w:val="24"/>
                      <w:szCs w:val="24"/>
                      <w:lang w:bidi="ar"/>
                    </w:rPr>
                    <w:t>文号</w:t>
                  </w:r>
                </w:p>
              </w:tc>
              <w:tc>
                <w:tcPr>
                  <w:tcW w:w="484" w:type="pct"/>
                  <w:vAlign w:val="center"/>
                </w:tcPr>
                <w:p w14:paraId="13B75F6A">
                  <w:pPr>
                    <w:widowControl/>
                    <w:jc w:val="center"/>
                    <w:textAlignment w:val="center"/>
                    <w:rPr>
                      <w:rFonts w:hint="eastAsia" w:ascii="宋体" w:hAnsi="宋体" w:eastAsia="宋体" w:cs="宋体"/>
                      <w:b/>
                      <w:color w:val="000000"/>
                      <w:kern w:val="2"/>
                      <w:sz w:val="24"/>
                      <w:szCs w:val="24"/>
                      <w:lang w:val="en-US" w:eastAsia="zh-CN" w:bidi="ar-SA"/>
                    </w:rPr>
                  </w:pPr>
                  <w:r>
                    <w:rPr>
                      <w:rFonts w:hint="eastAsia" w:ascii="宋体" w:hAnsi="宋体" w:eastAsia="宋体" w:cs="宋体"/>
                      <w:b/>
                      <w:color w:val="000000"/>
                      <w:kern w:val="0"/>
                      <w:sz w:val="24"/>
                      <w:szCs w:val="24"/>
                      <w:lang w:bidi="ar"/>
                    </w:rPr>
                    <w:t>行政处罚文号</w:t>
                  </w:r>
                </w:p>
              </w:tc>
              <w:tc>
                <w:tcPr>
                  <w:tcW w:w="316" w:type="pct"/>
                  <w:vAlign w:val="center"/>
                </w:tcPr>
                <w:p w14:paraId="5B2464D8">
                  <w:pPr>
                    <w:widowControl/>
                    <w:jc w:val="center"/>
                    <w:textAlignment w:val="center"/>
                    <w:rPr>
                      <w:rFonts w:hint="eastAsia" w:ascii="宋体" w:hAnsi="宋体" w:eastAsia="宋体" w:cs="宋体"/>
                      <w:b/>
                      <w:color w:val="000000"/>
                      <w:kern w:val="2"/>
                      <w:sz w:val="24"/>
                      <w:szCs w:val="24"/>
                      <w:lang w:val="en-US" w:eastAsia="zh-CN" w:bidi="ar-SA"/>
                    </w:rPr>
                  </w:pPr>
                  <w:r>
                    <w:rPr>
                      <w:rFonts w:hint="eastAsia" w:ascii="宋体" w:hAnsi="宋体" w:eastAsia="宋体" w:cs="宋体"/>
                      <w:b/>
                      <w:color w:val="000000"/>
                      <w:kern w:val="0"/>
                      <w:sz w:val="24"/>
                      <w:szCs w:val="24"/>
                      <w:lang w:bidi="ar"/>
                    </w:rPr>
                    <w:t>处罚金额</w:t>
                  </w:r>
                </w:p>
              </w:tc>
              <w:tc>
                <w:tcPr>
                  <w:tcW w:w="907" w:type="pct"/>
                  <w:vAlign w:val="center"/>
                </w:tcPr>
                <w:p w14:paraId="24DB640F">
                  <w:pPr>
                    <w:widowControl/>
                    <w:jc w:val="center"/>
                    <w:textAlignment w:val="center"/>
                    <w:rPr>
                      <w:rFonts w:hint="eastAsia" w:ascii="宋体" w:hAnsi="宋体" w:eastAsia="宋体" w:cs="宋体"/>
                      <w:color w:val="000000"/>
                      <w:kern w:val="0"/>
                      <w:sz w:val="22"/>
                      <w:szCs w:val="22"/>
                      <w:vertAlign w:val="baseline"/>
                      <w:lang w:eastAsia="zh-CN" w:bidi="ar"/>
                    </w:rPr>
                  </w:pPr>
                  <w:r>
                    <w:rPr>
                      <w:rFonts w:hint="eastAsia" w:ascii="宋体" w:hAnsi="宋体" w:eastAsia="宋体" w:cs="宋体"/>
                      <w:b/>
                      <w:color w:val="000000"/>
                      <w:kern w:val="0"/>
                      <w:sz w:val="24"/>
                      <w:szCs w:val="24"/>
                      <w:lang w:bidi="ar"/>
                    </w:rPr>
                    <w:t>处罚</w:t>
                  </w:r>
                  <w:r>
                    <w:rPr>
                      <w:rFonts w:hint="eastAsia" w:ascii="宋体" w:hAnsi="宋体" w:eastAsia="宋体" w:cs="宋体"/>
                      <w:b/>
                      <w:color w:val="000000"/>
                      <w:kern w:val="0"/>
                      <w:sz w:val="24"/>
                      <w:szCs w:val="24"/>
                      <w:lang w:eastAsia="zh-CN" w:bidi="ar"/>
                    </w:rPr>
                    <w:t>依据</w:t>
                  </w:r>
                </w:p>
              </w:tc>
              <w:tc>
                <w:tcPr>
                  <w:tcW w:w="264" w:type="pct"/>
                  <w:vAlign w:val="center"/>
                </w:tcPr>
                <w:p w14:paraId="3A854DC0">
                  <w:pPr>
                    <w:widowControl/>
                    <w:jc w:val="center"/>
                    <w:textAlignment w:val="center"/>
                    <w:rPr>
                      <w:rFonts w:hint="eastAsia" w:ascii="宋体" w:hAnsi="宋体" w:eastAsia="宋体" w:cs="宋体"/>
                      <w:color w:val="000000"/>
                      <w:kern w:val="0"/>
                      <w:sz w:val="22"/>
                      <w:szCs w:val="22"/>
                      <w:vertAlign w:val="baseline"/>
                      <w:lang w:eastAsia="zh-CN" w:bidi="ar"/>
                    </w:rPr>
                  </w:pPr>
                  <w:r>
                    <w:rPr>
                      <w:rFonts w:hint="eastAsia" w:ascii="宋体" w:hAnsi="宋体" w:eastAsia="宋体" w:cs="宋体"/>
                      <w:b/>
                      <w:color w:val="000000"/>
                      <w:kern w:val="0"/>
                      <w:sz w:val="24"/>
                      <w:szCs w:val="24"/>
                      <w:lang w:bidi="ar"/>
                    </w:rPr>
                    <w:t>处罚</w:t>
                  </w:r>
                  <w:r>
                    <w:rPr>
                      <w:rFonts w:hint="eastAsia" w:ascii="宋体" w:hAnsi="宋体" w:eastAsia="宋体" w:cs="宋体"/>
                      <w:b/>
                      <w:color w:val="000000"/>
                      <w:kern w:val="0"/>
                      <w:sz w:val="24"/>
                      <w:szCs w:val="24"/>
                      <w:lang w:eastAsia="zh-CN" w:bidi="ar"/>
                    </w:rPr>
                    <w:t>程序</w:t>
                  </w:r>
                </w:p>
              </w:tc>
              <w:tc>
                <w:tcPr>
                  <w:tcW w:w="1665" w:type="pct"/>
                </w:tcPr>
                <w:p w14:paraId="3515DB6D">
                  <w:pPr>
                    <w:widowControl/>
                    <w:jc w:val="center"/>
                    <w:textAlignment w:val="center"/>
                    <w:rPr>
                      <w:rFonts w:hint="eastAsia" w:ascii="宋体" w:hAnsi="宋体" w:eastAsia="宋体" w:cs="宋体"/>
                      <w:b/>
                      <w:color w:val="000000"/>
                      <w:kern w:val="0"/>
                      <w:sz w:val="24"/>
                      <w:szCs w:val="24"/>
                      <w:lang w:bidi="ar"/>
                    </w:rPr>
                  </w:pPr>
                </w:p>
                <w:p w14:paraId="7D0E7FE8">
                  <w:pPr>
                    <w:widowControl/>
                    <w:jc w:val="center"/>
                    <w:textAlignment w:val="center"/>
                    <w:rPr>
                      <w:rFonts w:hint="eastAsia" w:ascii="宋体" w:hAnsi="宋体" w:eastAsia="宋体" w:cs="宋体"/>
                      <w:color w:val="000000"/>
                      <w:kern w:val="0"/>
                      <w:sz w:val="22"/>
                      <w:szCs w:val="22"/>
                      <w:vertAlign w:val="baseline"/>
                      <w:lang w:bidi="ar"/>
                    </w:rPr>
                  </w:pPr>
                  <w:r>
                    <w:rPr>
                      <w:rFonts w:hint="eastAsia" w:ascii="宋体" w:hAnsi="宋体" w:eastAsia="宋体" w:cs="宋体"/>
                      <w:b/>
                      <w:color w:val="000000"/>
                      <w:kern w:val="0"/>
                      <w:sz w:val="24"/>
                      <w:szCs w:val="24"/>
                      <w:lang w:bidi="ar"/>
                    </w:rPr>
                    <w:t>安全生产违法行为</w:t>
                  </w:r>
                </w:p>
              </w:tc>
            </w:tr>
            <w:tr w14:paraId="596D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5" w:hRule="atLeast"/>
              </w:trPr>
              <w:tc>
                <w:tcPr>
                  <w:tcW w:w="241" w:type="pct"/>
                  <w:vAlign w:val="center"/>
                </w:tcPr>
                <w:p w14:paraId="45BFECA6">
                  <w:pPr>
                    <w:widowControl/>
                    <w:jc w:val="center"/>
                    <w:textAlignment w:val="center"/>
                    <w:rPr>
                      <w:rFonts w:hint="default" w:ascii="宋体" w:hAnsi="宋体" w:eastAsia="宋体" w:cs="宋体"/>
                      <w:color w:val="000000"/>
                      <w:kern w:val="0"/>
                      <w:sz w:val="22"/>
                      <w:szCs w:val="22"/>
                      <w:vertAlign w:val="baseline"/>
                      <w:lang w:val="en-US" w:eastAsia="zh-CN" w:bidi="ar"/>
                    </w:rPr>
                  </w:pPr>
                  <w:r>
                    <w:rPr>
                      <w:rFonts w:hint="eastAsia" w:ascii="宋体" w:hAnsi="宋体" w:eastAsia="宋体" w:cs="宋体"/>
                      <w:color w:val="000000"/>
                      <w:kern w:val="0"/>
                      <w:sz w:val="22"/>
                      <w:szCs w:val="22"/>
                      <w:vertAlign w:val="baseline"/>
                      <w:lang w:val="en-US" w:eastAsia="zh-CN" w:bidi="ar"/>
                    </w:rPr>
                    <w:t>1</w:t>
                  </w:r>
                </w:p>
              </w:tc>
              <w:tc>
                <w:tcPr>
                  <w:tcW w:w="567" w:type="pct"/>
                  <w:vAlign w:val="center"/>
                </w:tcPr>
                <w:p w14:paraId="0F5BE5B5">
                  <w:pPr>
                    <w:widowControl/>
                    <w:jc w:val="both"/>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托里县天盾特种水泥有限公司</w:t>
                  </w:r>
                </w:p>
              </w:tc>
              <w:tc>
                <w:tcPr>
                  <w:tcW w:w="554" w:type="pct"/>
                  <w:vAlign w:val="center"/>
                </w:tcPr>
                <w:p w14:paraId="71DF27B6">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无</w:t>
                  </w:r>
                </w:p>
              </w:tc>
              <w:tc>
                <w:tcPr>
                  <w:tcW w:w="484" w:type="pct"/>
                  <w:vAlign w:val="center"/>
                </w:tcPr>
                <w:p w14:paraId="7F7D04A2">
                  <w:pPr>
                    <w:widowControl/>
                    <w:jc w:val="center"/>
                    <w:textAlignment w:val="center"/>
                    <w:rPr>
                      <w:rFonts w:hint="default" w:ascii="宋体" w:hAnsi="宋体" w:eastAsia="宋体" w:cs="宋体"/>
                      <w:sz w:val="22"/>
                      <w:szCs w:val="22"/>
                      <w:lang w:val="en-US"/>
                    </w:rPr>
                  </w:pPr>
                  <w:r>
                    <w:rPr>
                      <w:rFonts w:ascii="宋体" w:hAnsi="宋体" w:eastAsia="宋体" w:cs="宋体"/>
                      <w:sz w:val="22"/>
                      <w:szCs w:val="22"/>
                      <w:lang w:val="en-US" w:eastAsia="zh-CN"/>
                    </w:rPr>
                    <w:t>（托）应急罚〔2025〕2</w:t>
                  </w:r>
                  <w:r>
                    <w:rPr>
                      <w:rFonts w:hint="eastAsia" w:ascii="宋体" w:hAnsi="宋体" w:eastAsia="宋体" w:cs="宋体"/>
                      <w:sz w:val="22"/>
                      <w:szCs w:val="22"/>
                      <w:lang w:val="en-US" w:eastAsia="zh-CN"/>
                    </w:rPr>
                    <w:t>7</w:t>
                  </w:r>
                </w:p>
                <w:p w14:paraId="3FB2ACBA">
                  <w:pPr>
                    <w:widowControl/>
                    <w:jc w:val="center"/>
                    <w:textAlignment w:val="center"/>
                    <w:rPr>
                      <w:rFonts w:ascii="宋体" w:hAnsi="宋体" w:eastAsia="宋体" w:cs="宋体"/>
                      <w:sz w:val="22"/>
                      <w:szCs w:val="22"/>
                    </w:rPr>
                  </w:pPr>
                </w:p>
              </w:tc>
              <w:tc>
                <w:tcPr>
                  <w:tcW w:w="316" w:type="pct"/>
                  <w:vAlign w:val="center"/>
                </w:tcPr>
                <w:p w14:paraId="2F809E27">
                  <w:pPr>
                    <w:widowControl/>
                    <w:jc w:val="center"/>
                    <w:textAlignment w:val="center"/>
                    <w:rPr>
                      <w:rFonts w:hint="default" w:ascii="宋体" w:hAnsi="宋体" w:eastAsia="宋体" w:cs="宋体"/>
                      <w:color w:val="000000"/>
                      <w:kern w:val="0"/>
                      <w:sz w:val="22"/>
                      <w:szCs w:val="22"/>
                      <w:vertAlign w:val="baseline"/>
                      <w:lang w:val="en-US" w:eastAsia="zh-CN" w:bidi="ar"/>
                    </w:rPr>
                  </w:pPr>
                  <w:r>
                    <w:rPr>
                      <w:rFonts w:hint="eastAsia" w:ascii="宋体" w:hAnsi="宋体" w:eastAsia="宋体" w:cs="宋体"/>
                      <w:color w:val="000000"/>
                      <w:kern w:val="0"/>
                      <w:sz w:val="22"/>
                      <w:szCs w:val="22"/>
                      <w:vertAlign w:val="baseline"/>
                      <w:lang w:val="en-US" w:eastAsia="zh-CN" w:bidi="ar"/>
                    </w:rPr>
                    <w:t>3万元</w:t>
                  </w:r>
                </w:p>
              </w:tc>
              <w:tc>
                <w:tcPr>
                  <w:tcW w:w="907" w:type="pct"/>
                  <w:vAlign w:val="center"/>
                </w:tcPr>
                <w:p w14:paraId="03A4C501">
                  <w:pPr>
                    <w:widowControl/>
                    <w:jc w:val="center"/>
                    <w:textAlignment w:val="center"/>
                    <w:rPr>
                      <w:rFonts w:hint="eastAsia" w:ascii="宋体" w:hAnsi="宋体" w:eastAsia="宋体" w:cs="宋体"/>
                      <w:sz w:val="22"/>
                      <w:szCs w:val="22"/>
                      <w:lang w:val="en-US" w:eastAsia="zh-CN"/>
                    </w:rPr>
                  </w:pPr>
                  <w:r>
                    <w:rPr>
                      <w:rFonts w:ascii="宋体" w:hAnsi="宋体" w:eastAsia="宋体" w:cs="宋体"/>
                      <w:sz w:val="22"/>
                      <w:szCs w:val="22"/>
                    </w:rPr>
                    <w:t>《中华人民共和国安全生产法》</w:t>
                  </w:r>
                  <w:r>
                    <w:rPr>
                      <w:rFonts w:hint="eastAsia" w:ascii="宋体" w:hAnsi="宋体" w:eastAsia="宋体" w:cs="宋体"/>
                      <w:sz w:val="22"/>
                      <w:szCs w:val="22"/>
                      <w:lang w:eastAsia="zh-CN"/>
                    </w:rPr>
                    <w:t>第一百零二条</w:t>
                  </w:r>
                </w:p>
              </w:tc>
              <w:tc>
                <w:tcPr>
                  <w:tcW w:w="264" w:type="pct"/>
                  <w:vAlign w:val="center"/>
                </w:tcPr>
                <w:p w14:paraId="665DAD5F">
                  <w:pPr>
                    <w:widowControl/>
                    <w:jc w:val="center"/>
                    <w:textAlignment w:val="center"/>
                    <w:rPr>
                      <w:rFonts w:hint="eastAsia" w:ascii="宋体" w:hAnsi="宋体" w:eastAsia="宋体" w:cs="宋体"/>
                      <w:color w:val="000000"/>
                      <w:kern w:val="0"/>
                      <w:sz w:val="22"/>
                      <w:szCs w:val="22"/>
                      <w:vertAlign w:val="baseline"/>
                      <w:lang w:val="en-US" w:eastAsia="zh-CN" w:bidi="ar"/>
                    </w:rPr>
                  </w:pPr>
                  <w:r>
                    <w:rPr>
                      <w:rFonts w:hint="eastAsia" w:ascii="宋体" w:hAnsi="宋体" w:eastAsia="宋体" w:cs="宋体"/>
                      <w:color w:val="000000"/>
                      <w:kern w:val="0"/>
                      <w:sz w:val="22"/>
                      <w:szCs w:val="22"/>
                      <w:vertAlign w:val="baseline"/>
                      <w:lang w:val="en-US" w:eastAsia="zh-CN" w:bidi="ar"/>
                    </w:rPr>
                    <w:t>一般程序</w:t>
                  </w:r>
                </w:p>
              </w:tc>
              <w:tc>
                <w:tcPr>
                  <w:tcW w:w="1665" w:type="pct"/>
                  <w:vAlign w:val="center"/>
                </w:tcPr>
                <w:p w14:paraId="3E539771">
                  <w:pPr>
                    <w:widowControl/>
                    <w:jc w:val="both"/>
                    <w:textAlignment w:val="center"/>
                    <w:rPr>
                      <w:rFonts w:hint="default" w:ascii="宋体" w:hAnsi="宋体" w:eastAsia="宋体" w:cs="宋体"/>
                      <w:color w:val="000000"/>
                      <w:kern w:val="0"/>
                      <w:sz w:val="22"/>
                      <w:szCs w:val="22"/>
                      <w:vertAlign w:val="baseline"/>
                      <w:lang w:val="en-US" w:eastAsia="zh-CN" w:bidi="ar"/>
                    </w:rPr>
                  </w:pPr>
                  <w:r>
                    <w:rPr>
                      <w:rFonts w:hint="default" w:ascii="宋体" w:hAnsi="宋体" w:eastAsia="宋体" w:cs="宋体"/>
                      <w:color w:val="000000"/>
                      <w:kern w:val="0"/>
                      <w:sz w:val="21"/>
                      <w:szCs w:val="21"/>
                      <w:vertAlign w:val="baseline"/>
                      <w:lang w:val="en-US" w:eastAsia="zh-CN" w:bidi="ar"/>
                    </w:rPr>
                    <w:t>2025年9月24日，托里县应急管理局对新疆天盾特种水泥有限公司现场检查中发现，新疆天盾特种水泥有限公司二氧化碳储存室氧气探测器未检定继续使用，符合《工贸企业重大事故隐患判定标准》第十四条，属于重大事故隐患，撬装加油站未履行建设项目“三同时”手续，符合《化工和危险化学品生产经营单位重大生产安全事故隐患判定标准（试行）》第十条，属于重大事故隐患</w:t>
                  </w:r>
                </w:p>
              </w:tc>
            </w:tr>
          </w:tbl>
          <w:p w14:paraId="45390BDC">
            <w:pPr>
              <w:widowControl/>
              <w:jc w:val="left"/>
              <w:textAlignment w:val="center"/>
              <w:rPr>
                <w:rFonts w:hint="eastAsia" w:ascii="宋体" w:hAnsi="宋体" w:eastAsia="宋体" w:cs="宋体"/>
                <w:color w:val="000000"/>
                <w:kern w:val="0"/>
                <w:sz w:val="24"/>
                <w:lang w:bidi="ar"/>
              </w:rPr>
            </w:pPr>
          </w:p>
        </w:tc>
        <w:tc>
          <w:tcPr>
            <w:tcW w:w="13765" w:type="dxa"/>
            <w:tcBorders>
              <w:top w:val="nil"/>
              <w:left w:val="nil"/>
              <w:bottom w:val="nil"/>
              <w:right w:val="nil"/>
            </w:tcBorders>
            <w:shd w:val="clear" w:color="auto" w:fill="auto"/>
            <w:noWrap/>
            <w:tcMar>
              <w:top w:w="12" w:type="dxa"/>
              <w:left w:w="12" w:type="dxa"/>
              <w:right w:w="12" w:type="dxa"/>
            </w:tcMar>
            <w:vAlign w:val="center"/>
          </w:tcPr>
          <w:p w14:paraId="6FE2FB64">
            <w:pPr>
              <w:widowControl/>
              <w:jc w:val="left"/>
              <w:textAlignment w:val="center"/>
              <w:rPr>
                <w:rFonts w:hint="eastAsia" w:ascii="宋体" w:hAnsi="宋体" w:eastAsia="宋体" w:cs="宋体"/>
                <w:color w:val="000000"/>
                <w:kern w:val="0"/>
                <w:sz w:val="24"/>
                <w:lang w:bidi="ar"/>
              </w:rPr>
            </w:pPr>
          </w:p>
        </w:tc>
      </w:tr>
    </w:tbl>
    <w:p w14:paraId="0F434B6C">
      <w:pPr>
        <w:jc w:val="both"/>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ongolian Baiti">
    <w:altName w:val="DejaVu Math TeX Gyre"/>
    <w:panose1 w:val="03000500000000000000"/>
    <w:charset w:val="00"/>
    <w:family w:val="script"/>
    <w:pitch w:val="default"/>
    <w:sig w:usb0="00000000" w:usb1="00000000" w:usb2="00020000" w:usb3="00000000" w:csb0="0000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9B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8B39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B8B39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2MTkzYTgxYjg0MzUzYmNiNzQxYTMyMjBlMzAxYzUifQ=="/>
  </w:docVars>
  <w:rsids>
    <w:rsidRoot w:val="16976CAF"/>
    <w:rsid w:val="000C0D89"/>
    <w:rsid w:val="00197E28"/>
    <w:rsid w:val="001A6009"/>
    <w:rsid w:val="001A7578"/>
    <w:rsid w:val="00285DCF"/>
    <w:rsid w:val="00406C2C"/>
    <w:rsid w:val="004221D0"/>
    <w:rsid w:val="00541A28"/>
    <w:rsid w:val="00691939"/>
    <w:rsid w:val="007D1CD7"/>
    <w:rsid w:val="0091415F"/>
    <w:rsid w:val="009A6FD8"/>
    <w:rsid w:val="00B54EE4"/>
    <w:rsid w:val="00B6210E"/>
    <w:rsid w:val="00C92434"/>
    <w:rsid w:val="00C925E1"/>
    <w:rsid w:val="00CF6F8D"/>
    <w:rsid w:val="00D91A47"/>
    <w:rsid w:val="00D932DD"/>
    <w:rsid w:val="00E27FD8"/>
    <w:rsid w:val="00E406F4"/>
    <w:rsid w:val="06EF4D19"/>
    <w:rsid w:val="08BC7E3B"/>
    <w:rsid w:val="0A923275"/>
    <w:rsid w:val="0F5041A3"/>
    <w:rsid w:val="16976CAF"/>
    <w:rsid w:val="178E44A0"/>
    <w:rsid w:val="1BDB156D"/>
    <w:rsid w:val="30196D53"/>
    <w:rsid w:val="34AC6F5B"/>
    <w:rsid w:val="39A928B2"/>
    <w:rsid w:val="39E22EB8"/>
    <w:rsid w:val="3BE146A3"/>
    <w:rsid w:val="40F1461E"/>
    <w:rsid w:val="44164310"/>
    <w:rsid w:val="47043902"/>
    <w:rsid w:val="4C082E00"/>
    <w:rsid w:val="53B51064"/>
    <w:rsid w:val="541B6BAB"/>
    <w:rsid w:val="54DB5366"/>
    <w:rsid w:val="57027F7F"/>
    <w:rsid w:val="593F3A1A"/>
    <w:rsid w:val="5C386A06"/>
    <w:rsid w:val="5F384DC9"/>
    <w:rsid w:val="60482242"/>
    <w:rsid w:val="62036C57"/>
    <w:rsid w:val="62A27AD3"/>
    <w:rsid w:val="683412B0"/>
    <w:rsid w:val="68580E5B"/>
    <w:rsid w:val="734B7493"/>
    <w:rsid w:val="75BB24C3"/>
    <w:rsid w:val="7D007E9D"/>
    <w:rsid w:val="7D351AF5"/>
    <w:rsid w:val="9F229C29"/>
    <w:rsid w:val="EFFED3A8"/>
    <w:rsid w:val="FABFEB7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1"/>
    <w:basedOn w:val="6"/>
    <w:qFormat/>
    <w:uiPriority w:val="0"/>
    <w:rPr>
      <w:rFonts w:hint="eastAsia" w:ascii="宋体" w:hAnsi="宋体" w:eastAsia="宋体" w:cs="宋体"/>
      <w:color w:val="000000"/>
      <w:sz w:val="21"/>
      <w:szCs w:val="21"/>
      <w:u w:val="none"/>
    </w:rPr>
  </w:style>
  <w:style w:type="character" w:customStyle="1" w:styleId="8">
    <w:name w:val="font21"/>
    <w:basedOn w:val="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1175</Words>
  <Characters>1215</Characters>
  <Lines>14</Lines>
  <Paragraphs>4</Paragraphs>
  <TotalTime>3</TotalTime>
  <ScaleCrop>false</ScaleCrop>
  <LinksUpToDate>false</LinksUpToDate>
  <CharactersWithSpaces>1271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2022-02-16T20:34:00Z</dcterms:created>
  <dc:creator>Administrator</dc:creator>
  <cp:lastModifiedBy>uos</cp:lastModifiedBy>
  <cp:lastPrinted>2025-04-28T11:59:00Z</cp:lastPrinted>
  <dcterms:modified xsi:type="dcterms:W3CDTF">2025-11-17T17:15:58Z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450BDC7DAC9E4B32B798033BB9139A0E_13</vt:lpwstr>
  </property>
  <property fmtid="{D5CDD505-2E9C-101B-9397-08002B2CF9AE}" pid="4" name="KSOTemplateDocerSaveRecord">
    <vt:lpwstr>eyJoZGlkIjoiYjk2MTkzYTgxYjg0MzUzYmNiNzQxYTMyMjBlMzAxYzUiLCJ1c2VySWQiOiI2MzI5NDcwMDgifQ==</vt:lpwstr>
  </property>
</Properties>
</file>