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46B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托里县</w:t>
      </w:r>
      <w:r>
        <w:rPr>
          <w:rFonts w:hint="eastAsia" w:ascii="宋体" w:hAnsi="宋体" w:eastAsia="宋体" w:cs="宋体"/>
          <w:b/>
          <w:bCs/>
          <w:color w:val="000000" w:themeColor="text1"/>
          <w:sz w:val="44"/>
          <w:szCs w:val="44"/>
          <w14:textFill>
            <w14:solidFill>
              <w14:schemeClr w14:val="tx1"/>
            </w14:solidFill>
          </w14:textFill>
        </w:rPr>
        <w:t>县级国有资本收益收取管理办法</w:t>
      </w:r>
    </w:p>
    <w:p w14:paraId="3B2208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44"/>
          <w:szCs w:val="44"/>
          <w14:textFill>
            <w14:solidFill>
              <w14:schemeClr w14:val="tx1"/>
            </w14:solidFill>
          </w14:textFill>
        </w:rPr>
      </w:pPr>
    </w:p>
    <w:p w14:paraId="0166E0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 xml:space="preserve">第一章  </w:t>
      </w:r>
      <w:r>
        <w:rPr>
          <w:rFonts w:hint="eastAsia" w:ascii="微软雅黑" w:hAnsi="微软雅黑" w:eastAsia="微软雅黑" w:cs="微软雅黑"/>
          <w:color w:val="000000" w:themeColor="text1"/>
          <w:sz w:val="32"/>
          <w:szCs w:val="32"/>
          <w14:textFill>
            <w14:solidFill>
              <w14:schemeClr w14:val="tx1"/>
            </w14:solidFill>
          </w14:textFill>
        </w:rPr>
        <w:t>总　则</w:t>
      </w:r>
    </w:p>
    <w:p w14:paraId="6A28CFD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第一条　目的与依据</w:t>
      </w:r>
    </w:p>
    <w:p w14:paraId="779C19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为健全规范、透明、高效的县级国有资本收益收取机制，</w:t>
      </w:r>
      <w:r>
        <w:rPr>
          <w:rFonts w:hint="eastAsia" w:ascii="仿宋" w:hAnsi="仿宋" w:eastAsia="仿宋" w:cs="仿宋"/>
          <w:color w:val="000000" w:themeColor="text1"/>
          <w:sz w:val="30"/>
          <w:szCs w:val="30"/>
          <w14:textFill>
            <w14:solidFill>
              <w14:schemeClr w14:val="tx1"/>
            </w14:solidFill>
          </w14:textFill>
        </w:rPr>
        <w:t>保障县政府作为出资人的合法权益，促进县属国有资本合理流动和优化配置，根据《中华人民共和国预算法》</w:t>
      </w:r>
      <w:r>
        <w:rPr>
          <w:rFonts w:hint="eastAsia" w:ascii="仿宋" w:hAnsi="仿宋" w:eastAsia="仿宋" w:cs="仿宋"/>
          <w:color w:val="000000" w:themeColor="text1"/>
          <w:sz w:val="30"/>
          <w:szCs w:val="30"/>
          <w14:textFill>
            <w14:solidFill>
              <w14:schemeClr w14:val="tx1"/>
            </w14:solidFill>
          </w14:textFill>
        </w:rPr>
        <w:t>《中华人民共和国预算法实施条例》</w:t>
      </w:r>
      <w:r>
        <w:rPr>
          <w:rFonts w:hint="eastAsia" w:ascii="仿宋" w:hAnsi="仿宋" w:eastAsia="仿宋" w:cs="仿宋"/>
          <w:color w:val="000000" w:themeColor="text1"/>
          <w:sz w:val="30"/>
          <w:szCs w:val="30"/>
          <w14:textFill>
            <w14:solidFill>
              <w14:schemeClr w14:val="tx1"/>
            </w14:solidFill>
          </w14:textFill>
        </w:rPr>
        <w:t>《中华人民共和国企业国有资产法》《中华人民共和国公司法》</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国务院关于进一步深化预算管理制度改革的意见》（国发〔2021〕5号）、《国务院关于进一步完善国有资本经营预算制度的意见》（国发〔2024〕2号）、《自治区人民政府关于进一步深化自治区预算管理制度改革的实施意见》（新政发〔2021〕95号）</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新疆维吾尔自治区本级国有资本收益收取管理办法</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新财规[2024]6号</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和</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塔城地区本级国有资本收益收取管理办法</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塔地财规[2025]1号</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等法律法规和政策规定</w:t>
      </w:r>
      <w:r>
        <w:rPr>
          <w:rFonts w:hint="eastAsia" w:ascii="仿宋" w:hAnsi="仿宋" w:eastAsia="仿宋" w:cs="仿宋"/>
          <w:color w:val="000000" w:themeColor="text1"/>
          <w:sz w:val="30"/>
          <w:szCs w:val="30"/>
          <w14:textFill>
            <w14:solidFill>
              <w14:schemeClr w14:val="tx1"/>
            </w14:solidFill>
          </w14:textFill>
        </w:rPr>
        <w:t>，结合本县实际，制定本办法。</w:t>
      </w:r>
    </w:p>
    <w:p w14:paraId="0793C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p>
    <w:p w14:paraId="4E61C30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 xml:space="preserve">第二条  </w:t>
      </w:r>
      <w:r>
        <w:rPr>
          <w:rFonts w:hint="eastAsia" w:ascii="仿宋" w:hAnsi="仿宋" w:eastAsia="仿宋" w:cs="仿宋"/>
          <w:b/>
          <w:bCs/>
          <w:color w:val="000000" w:themeColor="text1"/>
          <w:sz w:val="30"/>
          <w:szCs w:val="30"/>
          <w14:textFill>
            <w14:solidFill>
              <w14:schemeClr w14:val="tx1"/>
            </w14:solidFill>
          </w14:textFill>
        </w:rPr>
        <w:t>适用范围</w:t>
      </w:r>
    </w:p>
    <w:p w14:paraId="071429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本办法所称企业均指县人民政府及出资人机构直接出资设立的一级企业，一级企业下属各级子企业国有资本收益纳入一级企业合并报表统一核算申报，不单独重复申报。</w:t>
      </w:r>
    </w:p>
    <w:p w14:paraId="2F9F81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本办法适用于县人民政府及其指定的履行出资人职责的部门、机构（以下统称出资人机构）直接监管或受托管理的下列县属企业：</w:t>
      </w:r>
    </w:p>
    <w:p w14:paraId="34CBFE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一</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县属国有独资企业（含公司制企业）；</w:t>
      </w:r>
    </w:p>
    <w:p w14:paraId="6AFC86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二</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县属国有控股企业（含绝对控股和相对控股）；</w:t>
      </w:r>
    </w:p>
    <w:p w14:paraId="64C6CA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三</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县属国有参股企业；</w:t>
      </w:r>
    </w:p>
    <w:p w14:paraId="50B3FA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四</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实行企业化管理的县属事业单位所属国有企业；</w:t>
      </w:r>
    </w:p>
    <w:p w14:paraId="3E6E65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五</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依托托里县人民政府权力、信用设立并由县政府出资的地方金融机构，法律法规、国有金融资本管理政策另有规定的，从其规定.</w:t>
      </w:r>
    </w:p>
    <w:p w14:paraId="2159E6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（六）</w:t>
      </w:r>
      <w:r>
        <w:rPr>
          <w:rFonts w:hint="eastAsia" w:ascii="仿宋" w:hAnsi="仿宋" w:eastAsia="仿宋" w:cs="仿宋"/>
          <w:color w:val="000000" w:themeColor="text1"/>
          <w:sz w:val="30"/>
          <w:szCs w:val="30"/>
          <w14:textFill>
            <w14:solidFill>
              <w14:schemeClr w14:val="tx1"/>
            </w14:solidFill>
          </w14:textFill>
        </w:rPr>
        <w:t>其他依法应纳入县级国有资本收益管理的企业。</w:t>
      </w:r>
    </w:p>
    <w:p w14:paraId="345D4B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 xml:space="preserve">第三条  </w:t>
      </w:r>
      <w:r>
        <w:rPr>
          <w:rFonts w:hint="eastAsia" w:ascii="仿宋" w:hAnsi="仿宋" w:eastAsia="仿宋" w:cs="仿宋"/>
          <w:b/>
          <w:bCs/>
          <w:color w:val="000000" w:themeColor="text1"/>
          <w:sz w:val="30"/>
          <w:szCs w:val="30"/>
          <w14:textFill>
            <w14:solidFill>
              <w14:schemeClr w14:val="tx1"/>
            </w14:solidFill>
          </w14:textFill>
        </w:rPr>
        <w:t>收益属性</w:t>
      </w:r>
    </w:p>
    <w:p w14:paraId="3BFF2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县级国有资本收益属于政府非税收入，全额上缴县级国库，纳入县级国有资本经营预算管理。任何部门、单位和个人不得以任何形式截留、坐支、挪用或擅自减免。</w:t>
      </w:r>
    </w:p>
    <w:p w14:paraId="5E8965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 xml:space="preserve">第四条  </w:t>
      </w:r>
      <w:r>
        <w:rPr>
          <w:rFonts w:hint="eastAsia" w:ascii="仿宋" w:hAnsi="仿宋" w:eastAsia="仿宋" w:cs="仿宋"/>
          <w:b/>
          <w:bCs/>
          <w:color w:val="000000" w:themeColor="text1"/>
          <w:sz w:val="30"/>
          <w:szCs w:val="30"/>
          <w14:textFill>
            <w14:solidFill>
              <w14:schemeClr w14:val="tx1"/>
            </w14:solidFill>
          </w14:textFill>
        </w:rPr>
        <w:t>职责分工</w:t>
      </w:r>
    </w:p>
    <w:p w14:paraId="4E3982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县级国有资本收益收取工作由县财政局、出资人机构、审计机关和县属企业等各方按照下列分工共同实施：</w:t>
      </w:r>
    </w:p>
    <w:p w14:paraId="0F8B3D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（一）</w:t>
      </w:r>
      <w:r>
        <w:rPr>
          <w:rFonts w:hint="eastAsia" w:ascii="仿宋" w:hAnsi="仿宋" w:eastAsia="仿宋" w:cs="仿宋"/>
          <w:color w:val="000000" w:themeColor="text1"/>
          <w:sz w:val="30"/>
          <w:szCs w:val="30"/>
          <w14:textFill>
            <w14:solidFill>
              <w14:schemeClr w14:val="tx1"/>
            </w14:solidFill>
          </w14:textFill>
        </w:rPr>
        <w:t>县财政局：统筹负责收益收取政策的制定、复核确认、缴库监督、预算编报和绩效评价，依法对违规行为进行处理。</w:t>
      </w:r>
    </w:p>
    <w:p w14:paraId="7C4480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（二）</w:t>
      </w:r>
      <w:r>
        <w:rPr>
          <w:rFonts w:hint="eastAsia" w:ascii="仿宋" w:hAnsi="仿宋" w:eastAsia="仿宋" w:cs="仿宋"/>
          <w:color w:val="000000" w:themeColor="text1"/>
          <w:sz w:val="30"/>
          <w:szCs w:val="30"/>
          <w14:textFill>
            <w14:solidFill>
              <w14:schemeClr w14:val="tx1"/>
            </w14:solidFill>
          </w14:textFill>
        </w:rPr>
        <w:t>出资人机构：负责所出资企业国有资本收益的初审、催报催缴，督促企业规范财务会计核算，配合核定上缴比例。</w:t>
      </w:r>
    </w:p>
    <w:p w14:paraId="3AE138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（三）</w:t>
      </w:r>
      <w:r>
        <w:rPr>
          <w:rFonts w:hint="eastAsia" w:ascii="仿宋" w:hAnsi="仿宋" w:eastAsia="仿宋" w:cs="仿宋"/>
          <w:color w:val="000000" w:themeColor="text1"/>
          <w:sz w:val="30"/>
          <w:szCs w:val="30"/>
          <w14:textFill>
            <w14:solidFill>
              <w14:schemeClr w14:val="tx1"/>
            </w14:solidFill>
          </w14:textFill>
        </w:rPr>
        <w:t>县属企业：如实编报国有资本收益申报材料，按时足额上缴各项收益，接受监督检查。</w:t>
      </w:r>
    </w:p>
    <w:p w14:paraId="4F4D21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（四）</w:t>
      </w:r>
      <w:r>
        <w:rPr>
          <w:rFonts w:hint="eastAsia" w:ascii="仿宋" w:hAnsi="仿宋" w:eastAsia="仿宋" w:cs="仿宋"/>
          <w:color w:val="000000" w:themeColor="text1"/>
          <w:sz w:val="30"/>
          <w:szCs w:val="30"/>
          <w14:textFill>
            <w14:solidFill>
              <w14:schemeClr w14:val="tx1"/>
            </w14:solidFill>
          </w14:textFill>
        </w:rPr>
        <w:t>审计机关职责：县审计局依法对国有资本收益申报、审核、上缴开展审计监督，对隐瞒收益、违规减免缓交等问题出具审计意见</w:t>
      </w:r>
      <w:r>
        <w:rPr>
          <w:rFonts w:hint="eastAsia" w:ascii="仿宋" w:hAnsi="仿宋" w:eastAsia="仿宋" w:cs="仿宋"/>
          <w:color w:val="000000" w:themeColor="text1"/>
          <w:sz w:val="30"/>
          <w:szCs w:val="30"/>
          <w:lang w:eastAsia="zh-CN"/>
          <w14:textFill>
            <w14:solidFill>
              <w14:schemeClr w14:val="tx1"/>
            </w14:solidFill>
          </w14:textFill>
        </w:rPr>
        <w:t>。</w:t>
      </w:r>
    </w:p>
    <w:p w14:paraId="48E834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（五）多家县级部门共同出资设立企业，由持股比例最高的出资人机构牵头履行初审、督促申报职责；持股比例相同的，由县政府指定牵头单位</w:t>
      </w:r>
      <w:r>
        <w:rPr>
          <w:rFonts w:hint="eastAsia" w:ascii="仿宋" w:hAnsi="仿宋" w:eastAsia="仿宋" w:cs="仿宋"/>
          <w:color w:val="000000" w:themeColor="text1"/>
          <w:sz w:val="30"/>
          <w:szCs w:val="30"/>
          <w:lang w:eastAsia="zh-CN"/>
          <w14:textFill>
            <w14:solidFill>
              <w14:schemeClr w14:val="tx1"/>
            </w14:solidFill>
          </w14:textFill>
        </w:rPr>
        <w:t>。</w:t>
      </w:r>
    </w:p>
    <w:p w14:paraId="2558EB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第五条　基本原则</w:t>
      </w:r>
    </w:p>
    <w:p w14:paraId="7CABF14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县级国有资本收益收取管理遵循以下原则：</w:t>
      </w:r>
    </w:p>
    <w:p w14:paraId="19934CE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（一）依法合规，公平公正；</w:t>
      </w:r>
    </w:p>
    <w:p w14:paraId="7A32FE7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（二）收支两条线，全额上缴；</w:t>
      </w:r>
    </w:p>
    <w:p w14:paraId="317E3D0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（三）科学分类，适度上缴；</w:t>
      </w:r>
    </w:p>
    <w:p w14:paraId="15DA285D">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（四）激励约束并重，促进企业发展与公共财政协调</w:t>
      </w:r>
      <w:r>
        <w:rPr>
          <w:rFonts w:hint="eastAsia" w:ascii="仿宋" w:hAnsi="仿宋" w:eastAsia="仿宋" w:cs="仿宋"/>
          <w:color w:val="000000" w:themeColor="text1"/>
          <w:sz w:val="30"/>
          <w:szCs w:val="30"/>
          <w:lang w:eastAsia="zh-CN"/>
          <w14:textFill>
            <w14:solidFill>
              <w14:schemeClr w14:val="tx1"/>
            </w14:solidFill>
          </w14:textFill>
        </w:rPr>
        <w:t>。</w:t>
      </w:r>
    </w:p>
    <w:p w14:paraId="1DFCCD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0"/>
          <w:szCs w:val="30"/>
          <w:lang w:eastAsia="zh-CN"/>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第二章　收益构成</w:t>
      </w:r>
    </w:p>
    <w:p w14:paraId="068A62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第六条　收益范围</w:t>
      </w:r>
    </w:p>
    <w:p w14:paraId="1828AA0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县级国有资本收益的表现形式主要有以下种类：</w:t>
      </w:r>
    </w:p>
    <w:p w14:paraId="1920A65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（一）利润类收益，即国有独资企业及视同独资企业按规定计算的应上缴税后利润；</w:t>
      </w:r>
    </w:p>
    <w:p w14:paraId="124EC32E">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（二）股利红利类收益，即县政府作为国有股东从国有控股、参股企业分得的股息、红利及其他形式分配的利润；</w:t>
      </w:r>
      <w:r>
        <w:rPr>
          <w:rFonts w:hint="eastAsia" w:ascii="仿宋" w:hAnsi="仿宋" w:eastAsia="仿宋" w:cs="仿宋"/>
          <w:color w:val="000000" w:themeColor="text1"/>
          <w:sz w:val="30"/>
          <w:szCs w:val="30"/>
          <w:lang w:val="en-US" w:eastAsia="zh-CN"/>
          <w14:textFill>
            <w14:solidFill>
              <w14:schemeClr w14:val="tx1"/>
            </w14:solidFill>
          </w14:textFill>
        </w:rPr>
        <w:t xml:space="preserve">   </w:t>
      </w:r>
    </w:p>
    <w:p w14:paraId="6434BF4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（三）产权转让类收益，即转让县属企业国有股权、股份、合伙份额或企业整体资产等形成的净收入，在扣除相关税费和处置成本后的余额；</w:t>
      </w:r>
    </w:p>
    <w:p w14:paraId="45A061F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（四）清算类收益，即县属企业实施解散清算、破产清算时，归属县级所有的剩余财产扣除清算费用、职工安置费用等后的净额；</w:t>
      </w:r>
    </w:p>
    <w:p w14:paraId="3D49551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（五）其他类收益，包括县政府依法持有的其他权益性资产产生的收入，以及依法依规应上缴的其他国有资本经营收入。</w:t>
      </w:r>
    </w:p>
    <w:p w14:paraId="160EE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第七条　利润类收益细化</w:t>
      </w:r>
    </w:p>
    <w:p w14:paraId="4CBA722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前条第一项所称利润类收益，具体包括：</w:t>
      </w:r>
    </w:p>
    <w:p w14:paraId="7F4D05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一</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国有独资</w:t>
      </w:r>
      <w:bookmarkStart w:id="0" w:name="OLE_LINK1"/>
      <w:r>
        <w:rPr>
          <w:rFonts w:hint="eastAsia" w:ascii="仿宋" w:hAnsi="仿宋" w:eastAsia="仿宋" w:cs="仿宋"/>
          <w:color w:val="000000" w:themeColor="text1"/>
          <w:sz w:val="30"/>
          <w:szCs w:val="30"/>
          <w14:textFill>
            <w14:solidFill>
              <w14:schemeClr w14:val="tx1"/>
            </w14:solidFill>
          </w14:textFill>
        </w:rPr>
        <w:t>企业</w:t>
      </w:r>
      <w:bookmarkEnd w:id="0"/>
      <w:r>
        <w:rPr>
          <w:rFonts w:hint="eastAsia" w:ascii="仿宋" w:hAnsi="仿宋" w:eastAsia="仿宋" w:cs="仿宋"/>
          <w:color w:val="000000" w:themeColor="text1"/>
          <w:sz w:val="30"/>
          <w:szCs w:val="30"/>
          <w14:textFill>
            <w14:solidFill>
              <w14:schemeClr w14:val="tx1"/>
            </w14:solidFill>
          </w14:textFill>
        </w:rPr>
        <w:t>当年实现的可供分配利润按本办法核定比例计算的应交利润；</w:t>
      </w:r>
    </w:p>
    <w:p w14:paraId="04AFC7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二</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由县政府直接出资的国有独资</w:t>
      </w:r>
      <w:r>
        <w:rPr>
          <w:rFonts w:hint="eastAsia" w:ascii="仿宋" w:hAnsi="仿宋" w:eastAsia="仿宋" w:cs="仿宋"/>
          <w:color w:val="000000" w:themeColor="text1"/>
          <w:sz w:val="30"/>
          <w:szCs w:val="30"/>
          <w14:textFill>
            <w14:solidFill>
              <w14:schemeClr w14:val="tx1"/>
            </w14:solidFill>
          </w14:textFill>
        </w:rPr>
        <w:t>企业</w:t>
      </w:r>
      <w:r>
        <w:rPr>
          <w:rFonts w:hint="eastAsia" w:ascii="仿宋" w:hAnsi="仿宋" w:eastAsia="仿宋" w:cs="仿宋"/>
          <w:color w:val="000000" w:themeColor="text1"/>
          <w:sz w:val="30"/>
          <w:szCs w:val="30"/>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经出资人机构批准应分配而滞留未分配的利润。</w:t>
      </w:r>
    </w:p>
    <w:p w14:paraId="09C523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企业因会计差错更正、税收返还等原因调增可分配利润所产生的应补缴部分。</w:t>
      </w:r>
    </w:p>
    <w:p w14:paraId="0E0B21A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第八条  </w:t>
      </w:r>
      <w:r>
        <w:rPr>
          <w:rFonts w:hint="eastAsia" w:ascii="仿宋" w:hAnsi="仿宋" w:eastAsia="仿宋" w:cs="仿宋"/>
          <w:b/>
          <w:bCs/>
          <w:color w:val="000000" w:themeColor="text1"/>
          <w:sz w:val="32"/>
          <w:szCs w:val="32"/>
          <w14:textFill>
            <w14:solidFill>
              <w14:schemeClr w14:val="tx1"/>
            </w14:solidFill>
          </w14:textFill>
        </w:rPr>
        <w:t>产权转让类收益细化</w:t>
      </w:r>
    </w:p>
    <w:p w14:paraId="7AA693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产权转让类收益主要包括：</w:t>
      </w:r>
    </w:p>
    <w:p w14:paraId="6ED9E7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出资人机构转让所持县属企业国有股权的净所得；</w:t>
      </w:r>
    </w:p>
    <w:p w14:paraId="7235E6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县属国有独资企业整体改制、出售部分资产导致国有资本退出或减少所实现的净收益；</w:t>
      </w:r>
    </w:p>
    <w:p w14:paraId="5F1505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（三）依法划转国有产权而获得的对价收入。</w:t>
      </w:r>
    </w:p>
    <w:p w14:paraId="75103E7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第九条  </w:t>
      </w:r>
      <w:r>
        <w:rPr>
          <w:rFonts w:hint="eastAsia" w:ascii="仿宋" w:hAnsi="仿宋" w:eastAsia="仿宋" w:cs="仿宋"/>
          <w:b/>
          <w:bCs/>
          <w:color w:val="000000" w:themeColor="text1"/>
          <w:sz w:val="32"/>
          <w:szCs w:val="32"/>
          <w14:textFill>
            <w14:solidFill>
              <w14:schemeClr w14:val="tx1"/>
            </w14:solidFill>
          </w14:textFill>
        </w:rPr>
        <w:t>清算类收益细化</w:t>
      </w:r>
    </w:p>
    <w:p w14:paraId="244307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清算类收益主要包括：</w:t>
      </w:r>
    </w:p>
    <w:p w14:paraId="47B118D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企业终止经营进行清算，清偿全部债务、支付清算费用和职工安置费用后归属于县级的剩余财产；</w:t>
      </w:r>
    </w:p>
    <w:p w14:paraId="0277257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企业破产程序中，按破产财产分配方案归属于县级国有出资人的分配所得；</w:t>
      </w:r>
    </w:p>
    <w:p w14:paraId="1EA1096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企业被依法撤销或吊销证照后组织清算所产生的应归县级所有的财产。</w:t>
      </w:r>
    </w:p>
    <w:p w14:paraId="08D881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仿宋" w:hAnsi="仿宋" w:eastAsia="仿宋" w:cs="仿宋"/>
          <w:b/>
          <w:bCs/>
          <w:color w:val="000000" w:themeColor="text1"/>
          <w:sz w:val="32"/>
          <w:szCs w:val="32"/>
          <w14:textFill>
            <w14:solidFill>
              <w14:schemeClr w14:val="tx1"/>
            </w14:solidFill>
          </w14:textFill>
        </w:rPr>
      </w:pPr>
      <w:bookmarkStart w:id="1" w:name="_GoBack"/>
      <w:bookmarkEnd w:id="1"/>
      <w:r>
        <w:rPr>
          <w:rFonts w:hint="eastAsia" w:ascii="仿宋" w:hAnsi="仿宋" w:eastAsia="仿宋" w:cs="仿宋"/>
          <w:b/>
          <w:bCs/>
          <w:color w:val="000000" w:themeColor="text1"/>
          <w:sz w:val="32"/>
          <w:szCs w:val="32"/>
          <w:lang w:val="en-US" w:eastAsia="zh-CN"/>
          <w14:textFill>
            <w14:solidFill>
              <w14:schemeClr w14:val="tx1"/>
            </w14:solidFill>
          </w14:textFill>
        </w:rPr>
        <w:t xml:space="preserve">第三章  </w:t>
      </w:r>
      <w:r>
        <w:rPr>
          <w:rFonts w:hint="eastAsia" w:ascii="仿宋" w:hAnsi="仿宋" w:eastAsia="仿宋" w:cs="仿宋"/>
          <w:b/>
          <w:bCs/>
          <w:color w:val="000000" w:themeColor="text1"/>
          <w:sz w:val="32"/>
          <w:szCs w:val="32"/>
          <w14:textFill>
            <w14:solidFill>
              <w14:schemeClr w14:val="tx1"/>
            </w14:solidFill>
          </w14:textFill>
        </w:rPr>
        <w:t>收益核算与确认</w:t>
      </w:r>
    </w:p>
    <w:p w14:paraId="3473D3C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第十条　利润核算的基准</w:t>
      </w:r>
    </w:p>
    <w:p w14:paraId="3CDC64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利润类收益的核算，应以经具有资质的会计师事务所审计的年度合并财务决算报告为依据，以归属母公司所有者的当期净利润为起点，并遵循下列调整规则：</w:t>
      </w:r>
    </w:p>
    <w:p w14:paraId="7D8519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依法弥补企业以前年度未弥补亏损，亏损认定以经审计财务报告为基础，由出资人机构会同县财政局共同确认，弥补期限严格遵照《企业所得税法》《公司法</w:t>
      </w:r>
      <w:r>
        <w:rPr>
          <w:rFonts w:hint="eastAsia" w:ascii="仿宋" w:hAnsi="仿宋" w:eastAsia="仿宋" w:cs="仿宋"/>
          <w:color w:val="000000" w:themeColor="text1"/>
          <w:sz w:val="32"/>
          <w:szCs w:val="32"/>
          <w:lang w:eastAsia="zh-CN"/>
          <w14:textFill>
            <w14:solidFill>
              <w14:schemeClr w14:val="tx1"/>
            </w14:solidFill>
          </w14:textFill>
        </w:rPr>
        <w:t>》等</w:t>
      </w:r>
      <w:r>
        <w:rPr>
          <w:rFonts w:hint="eastAsia" w:ascii="仿宋" w:hAnsi="仿宋" w:eastAsia="仿宋" w:cs="仿宋"/>
          <w:color w:val="000000" w:themeColor="text1"/>
          <w:sz w:val="32"/>
          <w:szCs w:val="32"/>
          <w14:textFill>
            <w14:solidFill>
              <w14:schemeClr w14:val="tx1"/>
            </w14:solidFill>
          </w14:textFill>
        </w:rPr>
        <w:t>相关规定执行</w:t>
      </w:r>
      <w:r>
        <w:rPr>
          <w:rFonts w:hint="eastAsia" w:ascii="仿宋" w:hAnsi="仿宋" w:eastAsia="仿宋" w:cs="仿宋"/>
          <w:color w:val="000000" w:themeColor="text1"/>
          <w:sz w:val="32"/>
          <w:szCs w:val="32"/>
          <w:lang w:eastAsia="zh-CN"/>
          <w14:textFill>
            <w14:solidFill>
              <w14:schemeClr w14:val="tx1"/>
            </w14:solidFill>
          </w14:textFill>
        </w:rPr>
        <w:t>。</w:t>
      </w:r>
    </w:p>
    <w:p w14:paraId="5D17A2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提取法定公积金，提取比例按《公司法》规定执行；</w:t>
      </w:r>
    </w:p>
    <w:p w14:paraId="74D39E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剔除因会计准则变更等非经营因素导致的损益变动，具体项目由县财政会同出资人机构核定。</w:t>
      </w:r>
    </w:p>
    <w:p w14:paraId="4572416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第十一条  </w:t>
      </w:r>
      <w:r>
        <w:rPr>
          <w:rFonts w:hint="eastAsia" w:ascii="仿宋" w:hAnsi="仿宋" w:eastAsia="仿宋" w:cs="仿宋"/>
          <w:b/>
          <w:bCs/>
          <w:color w:val="000000" w:themeColor="text1"/>
          <w:sz w:val="32"/>
          <w:szCs w:val="32"/>
          <w14:textFill>
            <w14:solidFill>
              <w14:schemeClr w14:val="tx1"/>
            </w14:solidFill>
          </w14:textFill>
        </w:rPr>
        <w:t>应交利润核定公式</w:t>
      </w:r>
    </w:p>
    <w:p w14:paraId="35204C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国有独资企业当年应交利润的计算模型为：</w:t>
      </w:r>
    </w:p>
    <w:p w14:paraId="6B216E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应交利润 =（净利润 - 弥补以前年度亏损 - </w:t>
      </w:r>
      <w:r>
        <w:rPr>
          <w:rFonts w:hint="eastAsia" w:ascii="仿宋" w:hAnsi="仿宋" w:eastAsia="仿宋" w:cs="仿宋"/>
          <w:color w:val="000000" w:themeColor="text1"/>
          <w:sz w:val="32"/>
          <w:szCs w:val="32"/>
          <w:lang w:val="en-US" w:eastAsia="zh-CN"/>
          <w14:textFill>
            <w14:solidFill>
              <w14:schemeClr w14:val="tx1"/>
            </w14:solidFill>
          </w14:textFill>
        </w:rPr>
        <w:t>提取</w:t>
      </w:r>
      <w:r>
        <w:rPr>
          <w:rFonts w:hint="eastAsia" w:ascii="仿宋" w:hAnsi="仿宋" w:eastAsia="仿宋" w:cs="仿宋"/>
          <w:color w:val="000000" w:themeColor="text1"/>
          <w:sz w:val="32"/>
          <w:szCs w:val="32"/>
          <w14:textFill>
            <w14:solidFill>
              <w14:schemeClr w14:val="tx1"/>
            </w14:solidFill>
          </w14:textFill>
        </w:rPr>
        <w:t>法定公积金）× 上缴比例</w:t>
      </w:r>
      <w:r>
        <w:rPr>
          <w:rFonts w:hint="eastAsia" w:ascii="仿宋" w:hAnsi="仿宋" w:eastAsia="仿宋" w:cs="仿宋"/>
          <w:color w:val="000000" w:themeColor="text1"/>
          <w:sz w:val="32"/>
          <w:szCs w:val="32"/>
          <w:lang w:eastAsia="zh-CN"/>
          <w14:textFill>
            <w14:solidFill>
              <w14:schemeClr w14:val="tx1"/>
            </w14:solidFill>
          </w14:textFill>
        </w:rPr>
        <w:t>。</w:t>
      </w:r>
    </w:p>
    <w:p w14:paraId="28B69B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如涉及以前年度未申报或未缴交的利润，应一并补足。企业根据上述逻辑编制《县级国有资本收益（利润）申报表》，附审计报告及相关说明一并报送。</w:t>
      </w:r>
    </w:p>
    <w:p w14:paraId="31BF27F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第十二条  </w:t>
      </w:r>
      <w:r>
        <w:rPr>
          <w:rFonts w:hint="eastAsia" w:ascii="仿宋" w:hAnsi="仿宋" w:eastAsia="仿宋" w:cs="仿宋"/>
          <w:b/>
          <w:bCs/>
          <w:color w:val="000000" w:themeColor="text1"/>
          <w:sz w:val="32"/>
          <w:szCs w:val="32"/>
          <w14:textFill>
            <w14:solidFill>
              <w14:schemeClr w14:val="tx1"/>
            </w14:solidFill>
          </w14:textFill>
        </w:rPr>
        <w:t>股利红利收益的确认</w:t>
      </w:r>
    </w:p>
    <w:p w14:paraId="4829CE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国有控股、参股企业分配的股利红利，以企业</w:t>
      </w:r>
      <w:r>
        <w:rPr>
          <w:rFonts w:hint="eastAsia" w:ascii="仿宋" w:hAnsi="仿宋" w:eastAsia="仿宋" w:cs="仿宋"/>
          <w:color w:val="000000" w:themeColor="text1"/>
          <w:sz w:val="32"/>
          <w:szCs w:val="32"/>
          <w:lang w:eastAsia="zh-CN"/>
          <w14:textFill>
            <w14:solidFill>
              <w14:schemeClr w14:val="tx1"/>
            </w14:solidFill>
          </w14:textFill>
        </w:rPr>
        <w:t>股东会</w:t>
      </w:r>
      <w:r>
        <w:rPr>
          <w:rFonts w:hint="eastAsia" w:ascii="仿宋" w:hAnsi="仿宋" w:eastAsia="仿宋" w:cs="仿宋"/>
          <w:color w:val="000000" w:themeColor="text1"/>
          <w:sz w:val="32"/>
          <w:szCs w:val="32"/>
          <w14:textFill>
            <w14:solidFill>
              <w14:schemeClr w14:val="tx1"/>
            </w14:solidFill>
          </w14:textFill>
        </w:rPr>
        <w:t>或股东</w:t>
      </w:r>
      <w:r>
        <w:rPr>
          <w:rFonts w:hint="eastAsia" w:ascii="仿宋" w:hAnsi="仿宋" w:eastAsia="仿宋" w:cs="仿宋"/>
          <w:color w:val="000000" w:themeColor="text1"/>
          <w:sz w:val="32"/>
          <w:szCs w:val="32"/>
          <w:lang w:eastAsia="zh-CN"/>
          <w14:textFill>
            <w14:solidFill>
              <w14:schemeClr w14:val="tx1"/>
            </w14:solidFill>
          </w14:textFill>
        </w:rPr>
        <w:t>大</w:t>
      </w:r>
      <w:r>
        <w:rPr>
          <w:rFonts w:hint="eastAsia" w:ascii="仿宋" w:hAnsi="仿宋" w:eastAsia="仿宋" w:cs="仿宋"/>
          <w:color w:val="000000" w:themeColor="text1"/>
          <w:sz w:val="32"/>
          <w:szCs w:val="32"/>
          <w14:textFill>
            <w14:solidFill>
              <w14:schemeClr w14:val="tx1"/>
            </w14:solidFill>
          </w14:textFill>
        </w:rPr>
        <w:t>会审议批准的利润分配方案载明的数额及时点予以确认。属于县级国有股权部分的金额，企业应在股利宣告日后及时报备出资人机构。以非现金形式分配的股利，</w:t>
      </w:r>
      <w:r>
        <w:rPr>
          <w:rFonts w:hint="eastAsia" w:ascii="仿宋" w:hAnsi="仿宋" w:eastAsia="仿宋" w:cs="仿宋"/>
          <w:color w:val="000000" w:themeColor="text1"/>
          <w:sz w:val="32"/>
          <w:szCs w:val="32"/>
          <w14:textFill>
            <w14:solidFill>
              <w14:schemeClr w14:val="tx1"/>
            </w14:solidFill>
          </w14:textFill>
        </w:rPr>
        <w:t>须经出资人机构事先书面同意，资产评估结果由县财政局备案；原则上应当优先以货币资金上缴国有资本收益。</w:t>
      </w:r>
    </w:p>
    <w:p w14:paraId="53DF57C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第十三条  </w:t>
      </w:r>
      <w:r>
        <w:rPr>
          <w:rFonts w:hint="eastAsia" w:ascii="仿宋" w:hAnsi="仿宋" w:eastAsia="仿宋" w:cs="仿宋"/>
          <w:b/>
          <w:bCs/>
          <w:color w:val="000000" w:themeColor="text1"/>
          <w:sz w:val="32"/>
          <w:szCs w:val="32"/>
          <w14:textFill>
            <w14:solidFill>
              <w14:schemeClr w14:val="tx1"/>
            </w14:solidFill>
          </w14:textFill>
        </w:rPr>
        <w:t>产权转让收益的确认</w:t>
      </w:r>
    </w:p>
    <w:p w14:paraId="2628DB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产权转让收益的确认，以产权交易合同生效并完成价款收取，或依法完成划转审批程序为时点。净收益的核定应合理扣减交易过程中发生的中介费、佣金、印花税等直接税费，并报县财政局备案。涉及金额较大或情形复杂的，可委托第三方审计确认。</w:t>
      </w:r>
    </w:p>
    <w:p w14:paraId="12C0C4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8" w:firstLineChars="600"/>
        <w:jc w:val="both"/>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第十四条   </w:t>
      </w:r>
      <w:r>
        <w:rPr>
          <w:rFonts w:hint="eastAsia" w:ascii="仿宋" w:hAnsi="仿宋" w:eastAsia="仿宋" w:cs="仿宋"/>
          <w:b/>
          <w:bCs/>
          <w:color w:val="000000" w:themeColor="text1"/>
          <w:sz w:val="32"/>
          <w:szCs w:val="32"/>
          <w14:textFill>
            <w14:solidFill>
              <w14:schemeClr w14:val="tx1"/>
            </w14:solidFill>
          </w14:textFill>
        </w:rPr>
        <w:t>清算收益的确认</w:t>
      </w:r>
    </w:p>
    <w:p w14:paraId="108477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清算收益的确认，以清算组或管理人提交的清算报告和剩余财产分配方案为准。清算终了后</w:t>
      </w:r>
      <w:r>
        <w:rPr>
          <w:rFonts w:hint="eastAsia" w:ascii="仿宋" w:hAnsi="仿宋" w:eastAsia="仿宋" w:cs="仿宋"/>
          <w:strike w:val="0"/>
          <w:dstrike w:val="0"/>
          <w:color w:val="000000" w:themeColor="text1"/>
          <w:sz w:val="32"/>
          <w:szCs w:val="32"/>
          <w:lang w:val="en-US" w:eastAsia="zh-CN"/>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t>日内，负责清算的机构应将归属县级的净收益金额书面</w:t>
      </w:r>
      <w:r>
        <w:rPr>
          <w:rFonts w:hint="eastAsia" w:ascii="仿宋" w:hAnsi="仿宋" w:eastAsia="仿宋" w:cs="仿宋"/>
          <w:color w:val="000000" w:themeColor="text1"/>
          <w:sz w:val="32"/>
          <w:szCs w:val="32"/>
          <w:lang w:val="en-US" w:eastAsia="zh-CN"/>
          <w14:textFill>
            <w14:solidFill>
              <w14:schemeClr w14:val="tx1"/>
            </w14:solidFill>
          </w14:textFill>
        </w:rPr>
        <w:t>报送</w:t>
      </w:r>
      <w:r>
        <w:rPr>
          <w:rFonts w:hint="eastAsia" w:ascii="仿宋" w:hAnsi="仿宋" w:eastAsia="仿宋" w:cs="仿宋"/>
          <w:color w:val="000000" w:themeColor="text1"/>
          <w:sz w:val="32"/>
          <w:szCs w:val="32"/>
          <w14:textFill>
            <w14:solidFill>
              <w14:schemeClr w14:val="tx1"/>
            </w14:solidFill>
          </w14:textFill>
        </w:rPr>
        <w:t>出资人机构和县财政局，并协助办理资金划转。</w:t>
      </w:r>
      <w:r>
        <w:rPr>
          <w:rFonts w:hint="eastAsia" w:ascii="仿宋" w:hAnsi="仿宋" w:eastAsia="仿宋" w:cs="仿宋"/>
          <w:color w:val="000000" w:themeColor="text1"/>
          <w:sz w:val="32"/>
          <w:szCs w:val="32"/>
          <w14:textFill>
            <w14:solidFill>
              <w14:schemeClr w14:val="tx1"/>
            </w14:solidFill>
          </w14:textFill>
        </w:rPr>
        <w:t>破产企业按《企业破产法》程序，管理人应在分配方案经法院裁定后30日内书面通知出资人机构和县财政局</w:t>
      </w:r>
      <w:r>
        <w:rPr>
          <w:rFonts w:hint="eastAsia" w:ascii="仿宋" w:hAnsi="仿宋" w:eastAsia="仿宋" w:cs="仿宋"/>
          <w:color w:val="000000" w:themeColor="text1"/>
          <w:sz w:val="32"/>
          <w:szCs w:val="32"/>
          <w:lang w:eastAsia="zh-CN"/>
          <w14:textFill>
            <w14:solidFill>
              <w14:schemeClr w14:val="tx1"/>
            </w14:solidFill>
          </w14:textFill>
        </w:rPr>
        <w:t>。</w:t>
      </w:r>
    </w:p>
    <w:p w14:paraId="3E97DC0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第四章  </w:t>
      </w:r>
      <w:r>
        <w:rPr>
          <w:rFonts w:hint="eastAsia" w:ascii="仿宋" w:hAnsi="仿宋" w:eastAsia="仿宋" w:cs="仿宋"/>
          <w:b/>
          <w:bCs/>
          <w:color w:val="000000" w:themeColor="text1"/>
          <w:sz w:val="32"/>
          <w:szCs w:val="32"/>
          <w14:textFill>
            <w14:solidFill>
              <w14:schemeClr w14:val="tx1"/>
            </w14:solidFill>
          </w14:textFill>
        </w:rPr>
        <w:t>收益上缴比例</w:t>
      </w:r>
    </w:p>
    <w:p w14:paraId="313683F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第十五条  </w:t>
      </w:r>
      <w:r>
        <w:rPr>
          <w:rFonts w:hint="eastAsia" w:ascii="仿宋" w:hAnsi="仿宋" w:eastAsia="仿宋" w:cs="仿宋"/>
          <w:b/>
          <w:bCs/>
          <w:color w:val="000000" w:themeColor="text1"/>
          <w:sz w:val="32"/>
          <w:szCs w:val="32"/>
          <w14:textFill>
            <w14:solidFill>
              <w14:schemeClr w14:val="tx1"/>
            </w14:solidFill>
          </w14:textFill>
        </w:rPr>
        <w:t>分类分档确定原则</w:t>
      </w:r>
    </w:p>
    <w:p w14:paraId="1D276D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根据县属企业的行业属性、功能定位、盈利状况及企业生命周期等维度，</w:t>
      </w:r>
      <w:r>
        <w:rPr>
          <w:rFonts w:hint="eastAsia" w:ascii="仿宋" w:hAnsi="仿宋" w:eastAsia="仿宋" w:cs="仿宋"/>
          <w:color w:val="000000" w:themeColor="text1"/>
          <w:sz w:val="32"/>
          <w:szCs w:val="32"/>
          <w:lang w:val="en-US" w:eastAsia="zh-CN"/>
          <w14:textFill>
            <w14:solidFill>
              <w14:schemeClr w14:val="tx1"/>
            </w14:solidFill>
          </w14:textFill>
        </w:rPr>
        <w:t>依据国资统一监管方式或市场监管部门注册登记的国民经济行业门类代码分档确定。</w:t>
      </w:r>
    </w:p>
    <w:p w14:paraId="5822999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第十六条  </w:t>
      </w:r>
      <w:r>
        <w:rPr>
          <w:rFonts w:hint="eastAsia" w:ascii="仿宋" w:hAnsi="仿宋" w:eastAsia="仿宋" w:cs="仿宋"/>
          <w:b/>
          <w:bCs/>
          <w:color w:val="000000" w:themeColor="text1"/>
          <w:sz w:val="32"/>
          <w:szCs w:val="32"/>
          <w14:textFill>
            <w14:solidFill>
              <w14:schemeClr w14:val="tx1"/>
            </w14:solidFill>
          </w14:textFill>
        </w:rPr>
        <w:t>第一档：</w:t>
      </w:r>
      <w:r>
        <w:rPr>
          <w:rFonts w:hint="eastAsia" w:ascii="仿宋" w:hAnsi="仿宋" w:eastAsia="仿宋" w:cs="仿宋"/>
          <w:b/>
          <w:bCs/>
          <w:color w:val="000000" w:themeColor="text1"/>
          <w:sz w:val="32"/>
          <w:szCs w:val="32"/>
          <w:lang w:val="en-US" w:eastAsia="zh-CN"/>
          <w14:textFill>
            <w14:solidFill>
              <w14:schemeClr w14:val="tx1"/>
            </w14:solidFill>
          </w14:textFill>
        </w:rPr>
        <w:t>30%</w:t>
      </w:r>
    </w:p>
    <w:p w14:paraId="0FEAAA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涵盖纳入县国资统一监管范围的商业一类，以及未纳入县国资统一监管范围的采矿业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制造业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建筑业交通运输、仓储和邮政业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信息传输、软件和信息技术服务</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金融业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房地产业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科学研究和技术服务业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居民服务、修理和其他服务业。</w:t>
      </w:r>
    </w:p>
    <w:p w14:paraId="26CD10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第十七条  </w:t>
      </w:r>
      <w:r>
        <w:rPr>
          <w:rFonts w:hint="eastAsia" w:ascii="仿宋" w:hAnsi="仿宋" w:eastAsia="仿宋" w:cs="仿宋"/>
          <w:b/>
          <w:bCs/>
          <w:color w:val="000000" w:themeColor="text1"/>
          <w:sz w:val="32"/>
          <w:szCs w:val="32"/>
          <w14:textFill>
            <w14:solidFill>
              <w14:schemeClr w14:val="tx1"/>
            </w14:solidFill>
          </w14:textFill>
        </w:rPr>
        <w:t>第二档：</w:t>
      </w:r>
      <w:r>
        <w:rPr>
          <w:rFonts w:hint="eastAsia" w:ascii="仿宋" w:hAnsi="仿宋" w:eastAsia="仿宋" w:cs="仿宋"/>
          <w:b/>
          <w:bCs/>
          <w:color w:val="000000" w:themeColor="text1"/>
          <w:sz w:val="32"/>
          <w:szCs w:val="32"/>
          <w:lang w:val="en-US" w:eastAsia="zh-CN"/>
          <w14:textFill>
            <w14:solidFill>
              <w14:schemeClr w14:val="tx1"/>
            </w14:solidFill>
          </w14:textFill>
        </w:rPr>
        <w:t>25%</w:t>
      </w:r>
    </w:p>
    <w:p w14:paraId="3457C4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涵盖纳入县国资统一监管范围的商业二类，以及未纳入县国资统一监管范围的批发和零售业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住宿和餐饮业。</w:t>
      </w:r>
    </w:p>
    <w:p w14:paraId="342FAA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第十八条  </w:t>
      </w:r>
      <w:r>
        <w:rPr>
          <w:rFonts w:hint="eastAsia" w:ascii="仿宋" w:hAnsi="仿宋" w:eastAsia="仿宋" w:cs="仿宋"/>
          <w:b/>
          <w:bCs/>
          <w:color w:val="000000" w:themeColor="text1"/>
          <w:sz w:val="32"/>
          <w:szCs w:val="32"/>
          <w14:textFill>
            <w14:solidFill>
              <w14:schemeClr w14:val="tx1"/>
            </w14:solidFill>
          </w14:textFill>
        </w:rPr>
        <w:t>第三档：</w:t>
      </w:r>
      <w:r>
        <w:rPr>
          <w:rFonts w:hint="eastAsia" w:ascii="仿宋" w:hAnsi="仿宋" w:eastAsia="仿宋" w:cs="仿宋"/>
          <w:b/>
          <w:bCs/>
          <w:color w:val="000000" w:themeColor="text1"/>
          <w:sz w:val="32"/>
          <w:szCs w:val="32"/>
          <w:lang w:val="en-US" w:eastAsia="zh-CN"/>
          <w14:textFill>
            <w14:solidFill>
              <w14:schemeClr w14:val="tx1"/>
            </w14:solidFill>
          </w14:textFill>
        </w:rPr>
        <w:t>10%</w:t>
      </w:r>
    </w:p>
    <w:p w14:paraId="5F04CC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涵盖纳入县国资统一监管范围的公益类，以及未纳入县国资统一监管范围的农、林、牧、渔业、电力、热力、燃气及水生产和供应业、租赁和商务服务业、水利</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环境和公共设施管理业</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文化、体育和娱乐业。</w:t>
      </w:r>
    </w:p>
    <w:p w14:paraId="366E9F3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第十九条  </w:t>
      </w:r>
      <w:r>
        <w:rPr>
          <w:rFonts w:hint="eastAsia" w:ascii="仿宋" w:hAnsi="仿宋" w:eastAsia="仿宋" w:cs="仿宋"/>
          <w:b/>
          <w:bCs/>
          <w:color w:val="000000" w:themeColor="text1"/>
          <w:sz w:val="32"/>
          <w:szCs w:val="32"/>
          <w14:textFill>
            <w14:solidFill>
              <w14:schemeClr w14:val="tx1"/>
            </w14:solidFill>
          </w14:textFill>
        </w:rPr>
        <w:t>第</w:t>
      </w:r>
      <w:r>
        <w:rPr>
          <w:rFonts w:hint="eastAsia" w:ascii="仿宋" w:hAnsi="仿宋" w:eastAsia="仿宋" w:cs="仿宋"/>
          <w:b/>
          <w:bCs/>
          <w:color w:val="000000" w:themeColor="text1"/>
          <w:sz w:val="32"/>
          <w:szCs w:val="32"/>
          <w:lang w:val="en-US" w:eastAsia="zh-CN"/>
          <w14:textFill>
            <w14:solidFill>
              <w14:schemeClr w14:val="tx1"/>
            </w14:solidFill>
          </w14:textFill>
        </w:rPr>
        <w:t>四</w:t>
      </w:r>
      <w:r>
        <w:rPr>
          <w:rFonts w:hint="eastAsia" w:ascii="仿宋" w:hAnsi="仿宋" w:eastAsia="仿宋" w:cs="仿宋"/>
          <w:b/>
          <w:bCs/>
          <w:color w:val="000000" w:themeColor="text1"/>
          <w:sz w:val="32"/>
          <w:szCs w:val="32"/>
          <w14:textFill>
            <w14:solidFill>
              <w14:schemeClr w14:val="tx1"/>
            </w14:solidFill>
          </w14:textFill>
        </w:rPr>
        <w:t>档：</w:t>
      </w:r>
      <w:r>
        <w:rPr>
          <w:rFonts w:hint="eastAsia" w:ascii="仿宋" w:hAnsi="仿宋" w:eastAsia="仿宋" w:cs="仿宋"/>
          <w:b/>
          <w:bCs/>
          <w:color w:val="000000" w:themeColor="text1"/>
          <w:sz w:val="32"/>
          <w:szCs w:val="32"/>
          <w:lang w:val="en-US" w:eastAsia="zh-CN"/>
          <w14:textFill>
            <w14:solidFill>
              <w14:schemeClr w14:val="tx1"/>
            </w14:solidFill>
          </w14:textFill>
        </w:rPr>
        <w:t>0</w:t>
      </w:r>
    </w:p>
    <w:p w14:paraId="029258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设立时间</w:t>
      </w:r>
      <w:r>
        <w:rPr>
          <w:rFonts w:hint="eastAsia" w:ascii="仿宋" w:hAnsi="仿宋" w:eastAsia="仿宋" w:cs="仿宋"/>
          <w:color w:val="000000" w:themeColor="text1"/>
          <w:sz w:val="32"/>
          <w:szCs w:val="32"/>
          <w:lang w:val="en-US" w:eastAsia="zh-CN"/>
          <w14:textFill>
            <w14:solidFill>
              <w14:schemeClr w14:val="tx1"/>
            </w14:solidFill>
          </w14:textFill>
        </w:rPr>
        <w:t>不满</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年，尚处于产业培育期的新设企业；</w:t>
      </w:r>
    </w:p>
    <w:p w14:paraId="68677E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因执行政府指令性任务导致当年亏损或利润大幅下滑，经认定确需扶持的企业；</w:t>
      </w:r>
    </w:p>
    <w:p w14:paraId="7B1B9E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司法行政监狱、戒毒类；</w:t>
      </w:r>
    </w:p>
    <w:p w14:paraId="1CE2F1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其他经县人民政府批准的特殊企业。</w:t>
      </w:r>
    </w:p>
    <w:p w14:paraId="1DCE12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企业从事多种行业经营的，以主营业务对应的国民经济行业代码确定上缴档位；主营业务难以界定的，由出资人机构商县财政局联合认定，报县财政局备案。</w:t>
      </w:r>
    </w:p>
    <w:p w14:paraId="79B4C38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 xml:space="preserve">    第二十条   </w:t>
      </w:r>
      <w:r>
        <w:rPr>
          <w:rFonts w:hint="eastAsia" w:ascii="仿宋" w:hAnsi="仿宋" w:eastAsia="仿宋" w:cs="仿宋"/>
          <w:b/>
          <w:bCs/>
          <w:color w:val="000000" w:themeColor="text1"/>
          <w:sz w:val="32"/>
          <w:szCs w:val="32"/>
          <w14:textFill>
            <w14:solidFill>
              <w14:schemeClr w14:val="tx1"/>
            </w14:solidFill>
          </w14:textFill>
        </w:rPr>
        <w:t>产权转让和清算收益的</w:t>
      </w:r>
      <w:r>
        <w:rPr>
          <w:rFonts w:hint="eastAsia" w:ascii="仿宋" w:hAnsi="仿宋" w:eastAsia="仿宋" w:cs="仿宋"/>
          <w:b/>
          <w:bCs/>
          <w:color w:val="000000" w:themeColor="text1"/>
          <w:sz w:val="32"/>
          <w:szCs w:val="32"/>
          <w14:textFill>
            <w14:solidFill>
              <w14:schemeClr w14:val="tx1"/>
            </w14:solidFill>
          </w14:textFill>
        </w:rPr>
        <w:t>上</w:t>
      </w:r>
      <w:r>
        <w:rPr>
          <w:rFonts w:hint="eastAsia" w:ascii="仿宋" w:hAnsi="仿宋" w:eastAsia="仿宋" w:cs="仿宋"/>
          <w:b/>
          <w:bCs/>
          <w:color w:val="000000" w:themeColor="text1"/>
          <w:sz w:val="32"/>
          <w:szCs w:val="32"/>
          <w:lang w:val="en-US" w:eastAsia="zh-CN"/>
          <w14:textFill>
            <w14:solidFill>
              <w14:schemeClr w14:val="tx1"/>
            </w14:solidFill>
          </w14:textFill>
        </w:rPr>
        <w:t>缴</w:t>
      </w:r>
    </w:p>
    <w:p w14:paraId="17DF42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产权转让净收益和清算净收益，在按规定足额扣除有关成本费用后，全部金额上缴县级国库，不适用分档比例</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法律法规、上级政策、县政府专项批复另有规定的除外。</w:t>
      </w:r>
      <w:r>
        <w:rPr>
          <w:rFonts w:hint="eastAsia" w:ascii="仿宋" w:hAnsi="仿宋" w:eastAsia="仿宋" w:cs="仿宋"/>
          <w:color w:val="000000" w:themeColor="text1"/>
          <w:sz w:val="32"/>
          <w:szCs w:val="32"/>
          <w14:textFill>
            <w14:solidFill>
              <w14:schemeClr w14:val="tx1"/>
            </w14:solidFill>
          </w14:textFill>
        </w:rPr>
        <w:t>因实施政府间划转而发生的产权调整，所获收入按有关规定处理。</w:t>
      </w:r>
    </w:p>
    <w:p w14:paraId="67F156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一</w:t>
      </w:r>
      <w:r>
        <w:rPr>
          <w:rFonts w:hint="eastAsia" w:ascii="仿宋" w:hAnsi="仿宋" w:eastAsia="仿宋" w:cs="仿宋"/>
          <w:b/>
          <w:bCs/>
          <w:color w:val="000000" w:themeColor="text1"/>
          <w:sz w:val="32"/>
          <w:szCs w:val="32"/>
          <w14:textFill>
            <w14:solidFill>
              <w14:schemeClr w14:val="tx1"/>
            </w14:solidFill>
          </w14:textFill>
        </w:rPr>
        <w:t>条　比例的动态调整</w:t>
      </w:r>
    </w:p>
    <w:p w14:paraId="12EBB8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因宏观经济变化、企业经营条件发生重大改变等，确需调整具体上缴比例的，由出资人机构或企业提出申请，经县财政局审核提出意见后报县政府审定。调整结果自下一预算年度起执行。</w:t>
      </w:r>
    </w:p>
    <w:p w14:paraId="7EFC713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第五章   收益缓交或免交</w:t>
      </w:r>
    </w:p>
    <w:p w14:paraId="5722037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第二十二条  缓交情形</w:t>
      </w:r>
    </w:p>
    <w:p w14:paraId="338A2C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因承担政府指令任务，导致资金周转严重困难、暂时无现金上缴能力的，经批准可缓交，缓交期最长不超过一个会计年度。</w:t>
      </w:r>
    </w:p>
    <w:p w14:paraId="59D099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第二十三条   免交情形</w:t>
      </w:r>
    </w:p>
    <w:p w14:paraId="147EC8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对经县政府认定，主要承担政府公益性项目，无市场化经营收入，且实现利润主要来源于财政拨款或政策性补助的企业，可申请免交当年国有资本收益。</w:t>
      </w:r>
    </w:p>
    <w:p w14:paraId="5993D20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第六章  </w:t>
      </w:r>
      <w:r>
        <w:rPr>
          <w:rFonts w:hint="eastAsia" w:ascii="仿宋" w:hAnsi="仿宋" w:eastAsia="仿宋" w:cs="仿宋"/>
          <w:b/>
          <w:bCs/>
          <w:color w:val="000000" w:themeColor="text1"/>
          <w:sz w:val="32"/>
          <w:szCs w:val="32"/>
          <w14:textFill>
            <w14:solidFill>
              <w14:schemeClr w14:val="tx1"/>
            </w14:solidFill>
          </w14:textFill>
        </w:rPr>
        <w:t>收益申报与审核程序</w:t>
      </w:r>
    </w:p>
    <w:p w14:paraId="4D3C646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四</w:t>
      </w:r>
      <w:r>
        <w:rPr>
          <w:rFonts w:hint="eastAsia" w:ascii="仿宋" w:hAnsi="仿宋" w:eastAsia="仿宋" w:cs="仿宋"/>
          <w:b/>
          <w:bCs/>
          <w:color w:val="000000" w:themeColor="text1"/>
          <w:sz w:val="32"/>
          <w:szCs w:val="32"/>
          <w14:textFill>
            <w14:solidFill>
              <w14:schemeClr w14:val="tx1"/>
            </w14:solidFill>
          </w14:textFill>
        </w:rPr>
        <w:t>条　企业申报时限与资料</w:t>
      </w:r>
    </w:p>
    <w:p w14:paraId="139BBD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各企业应于会计年度终了后四个月内（即每年4月30日前），编制完成上一年度《县级国有资本收益申报表》，连同经审计的财务决算报告、利润分配决议或建议、产权转让凭证、清算报告及相关说明材料，报送对应的出资人机构。逾期报送的，企业应出具书面说明并承担相应责任。</w:t>
      </w:r>
    </w:p>
    <w:p w14:paraId="4C0322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五</w:t>
      </w:r>
      <w:r>
        <w:rPr>
          <w:rFonts w:hint="eastAsia" w:ascii="仿宋" w:hAnsi="仿宋" w:eastAsia="仿宋" w:cs="仿宋"/>
          <w:b/>
          <w:bCs/>
          <w:color w:val="000000" w:themeColor="text1"/>
          <w:sz w:val="32"/>
          <w:szCs w:val="32"/>
          <w14:textFill>
            <w14:solidFill>
              <w14:schemeClr w14:val="tx1"/>
            </w14:solidFill>
          </w14:textFill>
        </w:rPr>
        <w:t>条　出资人机构初审</w:t>
      </w:r>
    </w:p>
    <w:p w14:paraId="76282B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出资人机构自接收企业申报材料之日起</w:t>
      </w:r>
      <w:r>
        <w:rPr>
          <w:rFonts w:hint="eastAsia" w:ascii="仿宋" w:hAnsi="仿宋" w:eastAsia="仿宋" w:cs="仿宋"/>
          <w:color w:val="000000" w:themeColor="text1"/>
          <w:sz w:val="32"/>
          <w:szCs w:val="32"/>
          <w:lang w:val="en-US" w:eastAsia="zh-CN"/>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t>个工作日内，对照本办法规定，重点审核以下事项并提出初审意见及应缴金额建议：</w:t>
      </w:r>
    </w:p>
    <w:p w14:paraId="164584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利润核算是否合规，可分配利润计算是否准确；</w:t>
      </w:r>
    </w:p>
    <w:p w14:paraId="4D395B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（二）上缴比例是否与已划定的档位一致；</w:t>
      </w:r>
    </w:p>
    <w:p w14:paraId="69DE2A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产权转让和清算收益是否完整申报；</w:t>
      </w:r>
    </w:p>
    <w:p w14:paraId="3871FF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历史欠缴收益是否补足申报。</w:t>
      </w:r>
    </w:p>
    <w:p w14:paraId="7F8102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初审意见连同企业申报材料应在审核完毕</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个工作日内转交县财政局。</w:t>
      </w:r>
    </w:p>
    <w:p w14:paraId="27338CE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六</w:t>
      </w:r>
      <w:r>
        <w:rPr>
          <w:rFonts w:hint="eastAsia" w:ascii="仿宋" w:hAnsi="仿宋" w:eastAsia="仿宋" w:cs="仿宋"/>
          <w:b/>
          <w:bCs/>
          <w:color w:val="000000" w:themeColor="text1"/>
          <w:sz w:val="32"/>
          <w:szCs w:val="32"/>
          <w14:textFill>
            <w14:solidFill>
              <w14:schemeClr w14:val="tx1"/>
            </w14:solidFill>
          </w14:textFill>
        </w:rPr>
        <w:t>条　财政部门复核</w:t>
      </w:r>
    </w:p>
    <w:p w14:paraId="201AC1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县财政局收到初审材料后，一般在</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个工作日内完成复核，必要时可组织专家或委托第三方机构进行核查。复核要点包括：会计政策的合规性、审计报告的适当性、档位比例的正确性以及资金收缴的可行性。对存在争议或疑问的事项，可向企业和出资人机构质询，相关方应在</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个工作日内答复。</w:t>
      </w:r>
    </w:p>
    <w:p w14:paraId="1285918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七</w:t>
      </w:r>
      <w:r>
        <w:rPr>
          <w:rFonts w:hint="eastAsia" w:ascii="仿宋" w:hAnsi="仿宋" w:eastAsia="仿宋" w:cs="仿宋"/>
          <w:b/>
          <w:bCs/>
          <w:color w:val="000000" w:themeColor="text1"/>
          <w:sz w:val="32"/>
          <w:szCs w:val="32"/>
          <w14:textFill>
            <w14:solidFill>
              <w14:schemeClr w14:val="tx1"/>
            </w14:solidFill>
          </w14:textFill>
        </w:rPr>
        <w:t>条　上缴通知书下达</w:t>
      </w:r>
    </w:p>
    <w:p w14:paraId="16F782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复核完成后，县财政局以书面形式向企业下达《县级国有资本收益上缴通知书》，同时抄送出资人机构。通知书应明确收益类别、应缴金额、缴款期限、缴款账户名称和账号以及逾期责任等要素。</w:t>
      </w:r>
    </w:p>
    <w:p w14:paraId="725CA3B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八</w:t>
      </w:r>
      <w:r>
        <w:rPr>
          <w:rFonts w:hint="eastAsia" w:ascii="仿宋" w:hAnsi="仿宋" w:eastAsia="仿宋" w:cs="仿宋"/>
          <w:b/>
          <w:bCs/>
          <w:color w:val="000000" w:themeColor="text1"/>
          <w:sz w:val="32"/>
          <w:szCs w:val="32"/>
          <w14:textFill>
            <w14:solidFill>
              <w14:schemeClr w14:val="tx1"/>
            </w14:solidFill>
          </w14:textFill>
        </w:rPr>
        <w:t>条　缴款时限</w:t>
      </w:r>
    </w:p>
    <w:p w14:paraId="43F575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企业须在收到上缴通知书之日起</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个工作日内，将应缴国有资本收益足额缴入县级非税收入汇缴专户或直接缴入县级国库。缴款凭证复印件应于缴款后</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个工作日内报送出资人机构和县财政局。县财政局开具非税收入一般缴款书，并做好预算收入确认。</w:t>
      </w:r>
      <w:r>
        <w:rPr>
          <w:rFonts w:hint="eastAsia" w:ascii="仿宋" w:hAnsi="仿宋" w:eastAsia="仿宋" w:cs="仿宋"/>
          <w:color w:val="000000" w:themeColor="text1"/>
          <w:sz w:val="32"/>
          <w:szCs w:val="32"/>
          <w14:textFill>
            <w14:solidFill>
              <w14:schemeClr w14:val="tx1"/>
            </w14:solidFill>
          </w14:textFill>
        </w:rPr>
        <w:t>逾期未足额上缴的，按本办法第八章规定予以催缴并追究相应责任。</w:t>
      </w:r>
    </w:p>
    <w:p w14:paraId="3FE656D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第七章   </w:t>
      </w:r>
      <w:r>
        <w:rPr>
          <w:rFonts w:hint="eastAsia" w:ascii="仿宋" w:hAnsi="仿宋" w:eastAsia="仿宋" w:cs="仿宋"/>
          <w:b/>
          <w:bCs/>
          <w:color w:val="000000" w:themeColor="text1"/>
          <w:sz w:val="32"/>
          <w:szCs w:val="32"/>
          <w14:textFill>
            <w14:solidFill>
              <w14:schemeClr w14:val="tx1"/>
            </w14:solidFill>
          </w14:textFill>
        </w:rPr>
        <w:t>特殊情形的处理</w:t>
      </w:r>
    </w:p>
    <w:p w14:paraId="0D593C5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第二十</w:t>
      </w:r>
      <w:r>
        <w:rPr>
          <w:rFonts w:hint="eastAsia" w:ascii="仿宋" w:hAnsi="仿宋" w:eastAsia="仿宋" w:cs="仿宋"/>
          <w:b/>
          <w:bCs/>
          <w:color w:val="000000" w:themeColor="text1"/>
          <w:sz w:val="32"/>
          <w:szCs w:val="32"/>
          <w:lang w:val="en-US" w:eastAsia="zh-CN"/>
          <w14:textFill>
            <w14:solidFill>
              <w14:schemeClr w14:val="tx1"/>
            </w14:solidFill>
          </w14:textFill>
        </w:rPr>
        <w:t>九</w:t>
      </w:r>
      <w:r>
        <w:rPr>
          <w:rFonts w:hint="eastAsia" w:ascii="仿宋" w:hAnsi="仿宋" w:eastAsia="仿宋" w:cs="仿宋"/>
          <w:b/>
          <w:bCs/>
          <w:color w:val="000000" w:themeColor="text1"/>
          <w:sz w:val="32"/>
          <w:szCs w:val="32"/>
          <w14:textFill>
            <w14:solidFill>
              <w14:schemeClr w14:val="tx1"/>
            </w14:solidFill>
          </w14:textFill>
        </w:rPr>
        <w:t>条　暂缓上缴的适用条件</w:t>
      </w:r>
    </w:p>
    <w:p w14:paraId="3782CA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因遭受重大自然灾害、意外事件、宏观经济剧烈波动等不可抗力，导致经营极度困难、现金流严重不足，暂时无力按时足额上缴收益的，可在规定缴款期限届满前向出资人机构提出暂缓上缴的书面申请。暂缓期限原则上不超过</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年，且同一企业连续申请暂缓不超过两次。申请须附能证明困难程度的财务报表、资金状况说明及还款计划。</w:t>
      </w:r>
    </w:p>
    <w:p w14:paraId="4C9F496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w:t>
      </w:r>
      <w:r>
        <w:rPr>
          <w:rFonts w:hint="eastAsia" w:ascii="仿宋" w:hAnsi="仿宋" w:eastAsia="仿宋" w:cs="仿宋"/>
          <w:b/>
          <w:bCs/>
          <w:color w:val="000000" w:themeColor="text1"/>
          <w:sz w:val="32"/>
          <w:szCs w:val="32"/>
          <w:lang w:val="en-US" w:eastAsia="zh-CN"/>
          <w14:textFill>
            <w14:solidFill>
              <w14:schemeClr w14:val="tx1"/>
            </w14:solidFill>
          </w14:textFill>
        </w:rPr>
        <w:t>三十</w:t>
      </w:r>
      <w:r>
        <w:rPr>
          <w:rFonts w:hint="eastAsia" w:ascii="仿宋" w:hAnsi="仿宋" w:eastAsia="仿宋" w:cs="仿宋"/>
          <w:b/>
          <w:bCs/>
          <w:color w:val="000000" w:themeColor="text1"/>
          <w:sz w:val="32"/>
          <w:szCs w:val="32"/>
          <w14:textFill>
            <w14:solidFill>
              <w14:schemeClr w14:val="tx1"/>
            </w14:solidFill>
          </w14:textFill>
        </w:rPr>
        <w:t>条　减免上缴的审批</w:t>
      </w:r>
    </w:p>
    <w:p w14:paraId="1851AA5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trike w:val="0"/>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strike w:val="0"/>
          <w:dstrike w:val="0"/>
          <w:color w:val="000000" w:themeColor="text1"/>
          <w:sz w:val="32"/>
          <w:szCs w:val="32"/>
          <w14:textFill>
            <w14:solidFill>
              <w14:schemeClr w14:val="tx1"/>
            </w14:solidFill>
          </w14:textFill>
        </w:rPr>
        <w:t>因执行政府特殊政策任务出现大额政策性亏损，或企业面临依法破产、解散等非常情形的，可申请减免部分或全部年收益。</w:t>
      </w:r>
    </w:p>
    <w:p w14:paraId="5A9C96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减免程序为：</w:t>
      </w:r>
    </w:p>
    <w:p w14:paraId="3BF18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企业提交申请及确凿证据</w:t>
      </w:r>
      <w:r>
        <w:rPr>
          <w:rFonts w:hint="eastAsia" w:ascii="仿宋" w:hAnsi="仿宋" w:eastAsia="仿宋" w:cs="仿宋"/>
          <w:color w:val="000000" w:themeColor="text1"/>
          <w:sz w:val="32"/>
          <w:szCs w:val="32"/>
          <w:lang w:eastAsia="zh-CN"/>
          <w14:textFill>
            <w14:solidFill>
              <w14:schemeClr w14:val="tx1"/>
            </w14:solidFill>
          </w14:textFill>
        </w:rPr>
        <w:t>；</w:t>
      </w:r>
    </w:p>
    <w:p w14:paraId="655ECD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出资人机构初步核实</w:t>
      </w:r>
      <w:r>
        <w:rPr>
          <w:rFonts w:hint="eastAsia" w:ascii="仿宋" w:hAnsi="仿宋" w:eastAsia="仿宋" w:cs="仿宋"/>
          <w:color w:val="000000" w:themeColor="text1"/>
          <w:sz w:val="32"/>
          <w:szCs w:val="32"/>
          <w:lang w:eastAsia="zh-CN"/>
          <w14:textFill>
            <w14:solidFill>
              <w14:schemeClr w14:val="tx1"/>
            </w14:solidFill>
          </w14:textFill>
        </w:rPr>
        <w:t>；</w:t>
      </w:r>
    </w:p>
    <w:p w14:paraId="67D31D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县财政局会同审计等部门联合审查</w:t>
      </w:r>
      <w:r>
        <w:rPr>
          <w:rFonts w:hint="eastAsia" w:ascii="仿宋" w:hAnsi="仿宋" w:eastAsia="仿宋" w:cs="仿宋"/>
          <w:color w:val="000000" w:themeColor="text1"/>
          <w:sz w:val="32"/>
          <w:szCs w:val="32"/>
          <w:lang w:eastAsia="zh-CN"/>
          <w14:textFill>
            <w14:solidFill>
              <w14:schemeClr w14:val="tx1"/>
            </w14:solidFill>
          </w14:textFill>
        </w:rPr>
        <w:t>；</w:t>
      </w:r>
    </w:p>
    <w:p w14:paraId="7EEEF4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（四）减免审批通过的金额不得留归企业自用，应按规定转增国家资本或国有资本公积，并由县财政局办理相应的账务调整。</w:t>
      </w:r>
    </w:p>
    <w:p w14:paraId="1F183D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（五)同一企业3年内累计申请减免不超过一次，且减免额度不超过当年应缴额的50%（特殊情况报县政府专题决定）。</w:t>
      </w:r>
    </w:p>
    <w:p w14:paraId="7E70F0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(六）减免、缓交决定作出后5个工作日内，由县财政局在县政府门户网站公示，接受社会监督。</w:t>
      </w:r>
    </w:p>
    <w:p w14:paraId="254D8A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（七）</w:t>
      </w:r>
      <w:r>
        <w:rPr>
          <w:rFonts w:hint="eastAsia" w:ascii="仿宋" w:hAnsi="仿宋" w:eastAsia="仿宋" w:cs="仿宋"/>
          <w:color w:val="000000" w:themeColor="text1"/>
          <w:sz w:val="32"/>
          <w:szCs w:val="32"/>
          <w14:textFill>
            <w14:solidFill>
              <w14:schemeClr w14:val="tx1"/>
            </w14:solidFill>
          </w14:textFill>
        </w:rPr>
        <w:t>县人民政府最终批准。未经批准，任何单位和个人不得自行减免。</w:t>
      </w:r>
    </w:p>
    <w:p w14:paraId="52F680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企业进入破产清算程序，经清算认定无可供分配国有资本收益的，不再征收；尚有剩余收益的，依照清算收益规定上缴。</w:t>
      </w:r>
    </w:p>
    <w:p w14:paraId="52C9BF8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第</w:t>
      </w:r>
      <w:r>
        <w:rPr>
          <w:rFonts w:hint="eastAsia" w:ascii="仿宋" w:hAnsi="仿宋" w:eastAsia="仿宋" w:cs="仿宋"/>
          <w:b/>
          <w:bCs/>
          <w:color w:val="000000" w:themeColor="text1"/>
          <w:sz w:val="32"/>
          <w:szCs w:val="32"/>
          <w:lang w:val="en-US" w:eastAsia="zh-CN"/>
          <w14:textFill>
            <w14:solidFill>
              <w14:schemeClr w14:val="tx1"/>
            </w14:solidFill>
          </w14:textFill>
        </w:rPr>
        <w:t>三十一</w:t>
      </w:r>
      <w:r>
        <w:rPr>
          <w:rFonts w:hint="eastAsia" w:ascii="仿宋" w:hAnsi="仿宋" w:eastAsia="仿宋" w:cs="仿宋"/>
          <w:b/>
          <w:bCs/>
          <w:color w:val="000000" w:themeColor="text1"/>
          <w:sz w:val="32"/>
          <w:szCs w:val="32"/>
          <w14:textFill>
            <w14:solidFill>
              <w14:schemeClr w14:val="tx1"/>
            </w14:solidFill>
          </w14:textFill>
        </w:rPr>
        <w:t>条　资产重组情形下的收益处理</w:t>
      </w:r>
    </w:p>
    <w:p w14:paraId="2ED0C6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发生合并、分立、重大资产置换等事项时，应清缴重组前全部应缴收益。重组方案涉及国有资本变动且可能影响收益缴纳能力的，出资人机构应在方案报批阶段要求明确收益清缴安排。因重组导致国有股权稀释或退出的，其产生的收益按产权转让规定执行。</w:t>
      </w:r>
    </w:p>
    <w:p w14:paraId="03F2B65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w:t>
      </w:r>
      <w:r>
        <w:rPr>
          <w:rFonts w:hint="eastAsia" w:ascii="仿宋" w:hAnsi="仿宋" w:eastAsia="仿宋" w:cs="仿宋"/>
          <w:b/>
          <w:bCs/>
          <w:color w:val="000000" w:themeColor="text1"/>
          <w:sz w:val="32"/>
          <w:szCs w:val="32"/>
          <w:lang w:val="en-US" w:eastAsia="zh-CN"/>
          <w14:textFill>
            <w14:solidFill>
              <w14:schemeClr w14:val="tx1"/>
            </w14:solidFill>
          </w14:textFill>
        </w:rPr>
        <w:t>三十二</w:t>
      </w:r>
      <w:r>
        <w:rPr>
          <w:rFonts w:hint="eastAsia" w:ascii="仿宋" w:hAnsi="仿宋" w:eastAsia="仿宋" w:cs="仿宋"/>
          <w:b/>
          <w:bCs/>
          <w:color w:val="000000" w:themeColor="text1"/>
          <w:sz w:val="32"/>
          <w:szCs w:val="32"/>
          <w14:textFill>
            <w14:solidFill>
              <w14:schemeClr w14:val="tx1"/>
            </w14:solidFill>
          </w14:textFill>
        </w:rPr>
        <w:t>条　历史遗留问题处理</w:t>
      </w:r>
    </w:p>
    <w:p w14:paraId="61AA00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此前年度由于政策不明、核算差错等原因未申报或少申报的国有资本收益，企业应在发现或接到财政、审计通知后</w:t>
      </w:r>
      <w:r>
        <w:rPr>
          <w:rFonts w:hint="eastAsia" w:ascii="仿宋" w:hAnsi="仿宋" w:eastAsia="仿宋" w:cs="仿宋"/>
          <w:color w:val="000000" w:themeColor="text1"/>
          <w:sz w:val="32"/>
          <w:szCs w:val="32"/>
          <w:lang w:val="en-US" w:eastAsia="zh-CN"/>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t>个工作日内据实补报，并一次性补缴。</w:t>
      </w:r>
      <w:r>
        <w:rPr>
          <w:rFonts w:hint="eastAsia" w:ascii="仿宋" w:hAnsi="仿宋" w:eastAsia="仿宋" w:cs="仿宋"/>
          <w:color w:val="000000" w:themeColor="text1"/>
          <w:sz w:val="32"/>
          <w:szCs w:val="32"/>
          <w14:textFill>
            <w14:solidFill>
              <w14:schemeClr w14:val="tx1"/>
            </w14:solidFill>
          </w14:textFill>
        </w:rPr>
        <w:t>历史欠缴收益补缴是否计收滞纳金，由县财政局会同出资人机构结合形成原因、企业经营状况综合研判后报县政府审定。</w:t>
      </w:r>
    </w:p>
    <w:p w14:paraId="2A61E3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w:t>
      </w:r>
      <w:r>
        <w:rPr>
          <w:rFonts w:hint="eastAsia" w:ascii="仿宋" w:hAnsi="仿宋" w:eastAsia="仿宋" w:cs="仿宋"/>
          <w:b/>
          <w:bCs/>
          <w:color w:val="000000" w:themeColor="text1"/>
          <w:sz w:val="32"/>
          <w:szCs w:val="32"/>
          <w:lang w:val="en-US" w:eastAsia="zh-CN"/>
          <w14:textFill>
            <w14:solidFill>
              <w14:schemeClr w14:val="tx1"/>
            </w14:solidFill>
          </w14:textFill>
        </w:rPr>
        <w:t>八</w:t>
      </w:r>
      <w:r>
        <w:rPr>
          <w:rFonts w:hint="eastAsia" w:ascii="仿宋" w:hAnsi="仿宋" w:eastAsia="仿宋" w:cs="仿宋"/>
          <w:b/>
          <w:bCs/>
          <w:color w:val="000000" w:themeColor="text1"/>
          <w:sz w:val="32"/>
          <w:szCs w:val="32"/>
          <w14:textFill>
            <w14:solidFill>
              <w14:schemeClr w14:val="tx1"/>
            </w14:solidFill>
          </w14:textFill>
        </w:rPr>
        <w:t>章　监督与责任</w:t>
      </w:r>
    </w:p>
    <w:p w14:paraId="1A3E49E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第三十</w:t>
      </w:r>
      <w:r>
        <w:rPr>
          <w:rFonts w:hint="eastAsia" w:ascii="仿宋" w:hAnsi="仿宋" w:eastAsia="仿宋" w:cs="仿宋"/>
          <w:b/>
          <w:bCs/>
          <w:color w:val="000000" w:themeColor="text1"/>
          <w:sz w:val="32"/>
          <w:szCs w:val="32"/>
          <w:lang w:val="en-US" w:eastAsia="zh-CN"/>
          <w14:textFill>
            <w14:solidFill>
              <w14:schemeClr w14:val="tx1"/>
            </w14:solidFill>
          </w14:textFill>
        </w:rPr>
        <w:t>三</w:t>
      </w:r>
      <w:r>
        <w:rPr>
          <w:rFonts w:hint="eastAsia" w:ascii="仿宋" w:hAnsi="仿宋" w:eastAsia="仿宋" w:cs="仿宋"/>
          <w:b/>
          <w:bCs/>
          <w:color w:val="000000" w:themeColor="text1"/>
          <w:sz w:val="32"/>
          <w:szCs w:val="32"/>
          <w14:textFill>
            <w14:solidFill>
              <w14:schemeClr w14:val="tx1"/>
            </w14:solidFill>
          </w14:textFill>
        </w:rPr>
        <w:t>条　多部门联合监管机制</w:t>
      </w:r>
    </w:p>
    <w:p w14:paraId="15AC47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县财政局和出资人机构应建立信息共享和联合监管机制，定期或不定期对企业收益申报真实性、资金缴纳及时性开展抽查和检查。每年度至少对</w:t>
      </w:r>
      <w:r>
        <w:rPr>
          <w:rFonts w:hint="eastAsia" w:ascii="仿宋" w:hAnsi="仿宋" w:eastAsia="仿宋" w:cs="仿宋"/>
          <w:color w:val="000000" w:themeColor="text1"/>
          <w:sz w:val="32"/>
          <w:szCs w:val="32"/>
          <w:lang w:val="en-US" w:eastAsia="zh-CN"/>
          <w14:textFill>
            <w14:solidFill>
              <w14:schemeClr w14:val="tx1"/>
            </w14:solidFill>
          </w14:textFill>
        </w:rPr>
        <w:t>一家</w:t>
      </w:r>
      <w:r>
        <w:rPr>
          <w:rFonts w:hint="eastAsia" w:ascii="仿宋" w:hAnsi="仿宋" w:eastAsia="仿宋" w:cs="仿宋"/>
          <w:color w:val="000000" w:themeColor="text1"/>
          <w:sz w:val="32"/>
          <w:szCs w:val="32"/>
          <w14:textFill>
            <w14:solidFill>
              <w14:schemeClr w14:val="tx1"/>
            </w14:solidFill>
          </w14:textFill>
        </w:rPr>
        <w:t>一级县属企业开展专项检查。</w:t>
      </w:r>
    </w:p>
    <w:p w14:paraId="7A4BA0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第三十</w:t>
      </w:r>
      <w:r>
        <w:rPr>
          <w:rFonts w:hint="eastAsia" w:ascii="仿宋" w:hAnsi="仿宋" w:eastAsia="仿宋" w:cs="仿宋"/>
          <w:b/>
          <w:bCs/>
          <w:color w:val="000000" w:themeColor="text1"/>
          <w:sz w:val="32"/>
          <w:szCs w:val="32"/>
          <w:lang w:val="en-US" w:eastAsia="zh-CN"/>
          <w14:textFill>
            <w14:solidFill>
              <w14:schemeClr w14:val="tx1"/>
            </w14:solidFill>
          </w14:textFill>
        </w:rPr>
        <w:t>四</w:t>
      </w:r>
      <w:r>
        <w:rPr>
          <w:rFonts w:hint="eastAsia" w:ascii="仿宋" w:hAnsi="仿宋" w:eastAsia="仿宋" w:cs="仿宋"/>
          <w:b/>
          <w:bCs/>
          <w:color w:val="000000" w:themeColor="text1"/>
          <w:sz w:val="32"/>
          <w:szCs w:val="32"/>
          <w14:textFill>
            <w14:solidFill>
              <w14:schemeClr w14:val="tx1"/>
            </w14:solidFill>
          </w14:textFill>
        </w:rPr>
        <w:t>条　企业的责任</w:t>
      </w:r>
    </w:p>
    <w:p w14:paraId="2A74D5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企业不得有下列行为：</w:t>
      </w:r>
    </w:p>
    <w:p w14:paraId="49F047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通过隐瞒收入、虚列成本、违规计提任意公积金等方式压低可分配利润；</w:t>
      </w:r>
    </w:p>
    <w:p w14:paraId="2C54A6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应报不报产权转让、清算等非经常性收益</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无正当理由逾期不上缴收益；</w:t>
      </w:r>
    </w:p>
    <w:p w14:paraId="1EF959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提供虚假审计报告或财务资料；</w:t>
      </w:r>
    </w:p>
    <w:p w14:paraId="7CFA5B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以其他形式规避或变相逃避收益上缴义务。</w:t>
      </w:r>
    </w:p>
    <w:p w14:paraId="081D39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第三十五条 </w:t>
      </w:r>
      <w:r>
        <w:rPr>
          <w:rFonts w:hint="eastAsia" w:ascii="仿宋" w:hAnsi="仿宋" w:eastAsia="仿宋" w:cs="仿宋"/>
          <w:color w:val="000000" w:themeColor="text1"/>
          <w:sz w:val="32"/>
          <w:szCs w:val="32"/>
          <w14:textFill>
            <w14:solidFill>
              <w14:schemeClr w14:val="tx1"/>
            </w14:solidFill>
          </w14:textFill>
        </w:rPr>
        <w:t>企业未按《县级国有资本收益上缴通知书》规定期限缴款的，县财政局应自逾期之日起按全国银行间同业拆借中心公布的贷款市场报价利率（LPR）的1.5倍按日计征滞纳金，并会同出资人机构采取约谈、催缴、通报等措施；逾期超过60日的，县财政局可报请县政府同意后，通过扣缴</w:t>
      </w:r>
      <w:r>
        <w:rPr>
          <w:rFonts w:hint="eastAsia" w:ascii="仿宋" w:hAnsi="仿宋" w:eastAsia="仿宋" w:cs="仿宋"/>
          <w:color w:val="000000" w:themeColor="text1"/>
          <w:sz w:val="32"/>
          <w:szCs w:val="32"/>
          <w:lang w:val="en-US" w:eastAsia="zh-CN"/>
          <w14:textFill>
            <w14:solidFill>
              <w14:schemeClr w14:val="tx1"/>
            </w14:solidFill>
          </w14:textFill>
        </w:rPr>
        <w:t>后续</w:t>
      </w:r>
      <w:r>
        <w:rPr>
          <w:rFonts w:hint="eastAsia" w:ascii="仿宋" w:hAnsi="仿宋" w:eastAsia="仿宋" w:cs="仿宋"/>
          <w:color w:val="000000" w:themeColor="text1"/>
          <w:sz w:val="32"/>
          <w:szCs w:val="32"/>
          <w14:textFill>
            <w14:solidFill>
              <w14:schemeClr w14:val="tx1"/>
            </w14:solidFill>
          </w14:textFill>
        </w:rPr>
        <w:t>年度预算拨款、限制企业负责人薪酬、暂停国资预算资金支持等方式处理。</w:t>
      </w:r>
    </w:p>
    <w:p w14:paraId="520AEB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第三十五条  违法责任与问责</w:t>
      </w:r>
    </w:p>
    <w:p w14:paraId="7A215A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企业有下列行为之一的，由县财政局会同出资人机构、审计机关依据《中华人民共和国预算法》《财政违法行为处罚处分条例》（国务院令第427号）、《国有企业管理人员处分条例》（国务院令第781号）等规定处理；涉嫌违纪违法的，移送纪检监察机关或司法机关：</w:t>
      </w:r>
    </w:p>
    <w:p w14:paraId="2E60A2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（一）隐瞒收入、虚列成本、违规计提任意公积金压低可分配利润的；</w:t>
      </w:r>
    </w:p>
    <w:p w14:paraId="1B4AB0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（二）应报不报产权转让、清算等非经常性收益的；</w:t>
      </w:r>
    </w:p>
    <w:p w14:paraId="1E923F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（三）提供虚假审计报告或财务资料的；</w:t>
      </w:r>
    </w:p>
    <w:p w14:paraId="1AF7F7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（四）拖欠、挪用、截留、私分国有资本收益的；</w:t>
      </w:r>
    </w:p>
    <w:p w14:paraId="2B3D49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（五）未经批准的减免、缓交、变相逃避上缴义务的。</w:t>
      </w:r>
    </w:p>
    <w:p w14:paraId="65035C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上述行为同时纳入企业负责人经营业绩考核，与薪酬挂钩。</w:t>
      </w:r>
    </w:p>
    <w:p w14:paraId="5A5E97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第三十六条 出资人机构与财政部门责任</w:t>
      </w:r>
    </w:p>
    <w:p w14:paraId="40FADC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出资人机构、县财政局及其工作人员在收益收取管理中存在玩忽职守、滥用职权、徇舞弊、违规减免的，依照《中华人民共和国公职人员政务处分法》《财政违法行为处罚处分条例》等规定追究责任；涉嫌犯罪的，移送有权机关处理。</w:t>
      </w:r>
    </w:p>
    <w:p w14:paraId="2F8E40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第九章   附则</w:t>
      </w:r>
    </w:p>
    <w:p w14:paraId="557B250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第三十</w:t>
      </w:r>
      <w:r>
        <w:rPr>
          <w:rFonts w:hint="eastAsia" w:ascii="仿宋" w:hAnsi="仿宋" w:eastAsia="仿宋" w:cs="仿宋"/>
          <w:b/>
          <w:bCs/>
          <w:color w:val="000000" w:themeColor="text1"/>
          <w:sz w:val="32"/>
          <w:szCs w:val="32"/>
          <w:lang w:val="en-US" w:eastAsia="zh-CN"/>
          <w14:textFill>
            <w14:solidFill>
              <w14:schemeClr w14:val="tx1"/>
            </w14:solidFill>
          </w14:textFill>
        </w:rPr>
        <w:t>七</w:t>
      </w:r>
      <w:r>
        <w:rPr>
          <w:rFonts w:hint="eastAsia" w:ascii="仿宋" w:hAnsi="仿宋" w:eastAsia="仿宋" w:cs="仿宋"/>
          <w:b/>
          <w:bCs/>
          <w:color w:val="000000" w:themeColor="text1"/>
          <w:sz w:val="32"/>
          <w:szCs w:val="32"/>
          <w14:textFill>
            <w14:solidFill>
              <w14:schemeClr w14:val="tx1"/>
            </w14:solidFill>
          </w14:textFill>
        </w:rPr>
        <w:t>条　对上衔接与预算编报</w:t>
      </w:r>
    </w:p>
    <w:p w14:paraId="313E74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县财政局应根据本办法规定，结合各企业申报审核情况，及时编报县级国有资本经营预算收入和支出草案，按规定程序报批。本办法所涉收益收入科目和</w:t>
      </w:r>
      <w:r>
        <w:rPr>
          <w:rFonts w:hint="eastAsia" w:ascii="仿宋" w:hAnsi="仿宋" w:eastAsia="仿宋" w:cs="仿宋"/>
          <w:color w:val="000000" w:themeColor="text1"/>
          <w:sz w:val="32"/>
          <w:szCs w:val="32"/>
          <w:lang w:val="en-US" w:eastAsia="zh-CN"/>
          <w14:textFill>
            <w14:solidFill>
              <w14:schemeClr w14:val="tx1"/>
            </w14:solidFill>
          </w14:textFill>
        </w:rPr>
        <w:t>上</w:t>
      </w:r>
      <w:r>
        <w:rPr>
          <w:rFonts w:hint="eastAsia" w:ascii="仿宋" w:hAnsi="仿宋" w:eastAsia="仿宋" w:cs="仿宋"/>
          <w:color w:val="000000" w:themeColor="text1"/>
          <w:sz w:val="32"/>
          <w:szCs w:val="32"/>
          <w14:textFill>
            <w14:solidFill>
              <w14:schemeClr w14:val="tx1"/>
            </w14:solidFill>
          </w14:textFill>
        </w:rPr>
        <w:t>缴</w:t>
      </w:r>
      <w:r>
        <w:rPr>
          <w:rFonts w:hint="eastAsia" w:ascii="仿宋" w:hAnsi="仿宋" w:eastAsia="仿宋" w:cs="仿宋"/>
          <w:color w:val="000000" w:themeColor="text1"/>
          <w:sz w:val="32"/>
          <w:szCs w:val="32"/>
          <w14:textFill>
            <w14:solidFill>
              <w14:schemeClr w14:val="tx1"/>
            </w14:solidFill>
          </w14:textFill>
        </w:rPr>
        <w:t>流程，按县财政关于非税收入收缴管理的规定执行。</w:t>
      </w:r>
    </w:p>
    <w:p w14:paraId="591CD29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第三十</w:t>
      </w:r>
      <w:r>
        <w:rPr>
          <w:rFonts w:hint="eastAsia" w:ascii="仿宋" w:hAnsi="仿宋" w:eastAsia="仿宋" w:cs="仿宋"/>
          <w:b/>
          <w:bCs/>
          <w:color w:val="000000" w:themeColor="text1"/>
          <w:sz w:val="32"/>
          <w:szCs w:val="32"/>
          <w:lang w:val="en-US" w:eastAsia="zh-CN"/>
          <w14:textFill>
            <w14:solidFill>
              <w14:schemeClr w14:val="tx1"/>
            </w14:solidFill>
          </w14:textFill>
        </w:rPr>
        <w:t>八</w:t>
      </w:r>
      <w:r>
        <w:rPr>
          <w:rFonts w:hint="eastAsia" w:ascii="仿宋" w:hAnsi="仿宋" w:eastAsia="仿宋" w:cs="仿宋"/>
          <w:b/>
          <w:bCs/>
          <w:color w:val="000000" w:themeColor="text1"/>
          <w:sz w:val="32"/>
          <w:szCs w:val="32"/>
          <w14:textFill>
            <w14:solidFill>
              <w14:schemeClr w14:val="tx1"/>
            </w14:solidFill>
          </w14:textFill>
        </w:rPr>
        <w:t>条　解释权属</w:t>
      </w:r>
    </w:p>
    <w:p w14:paraId="77BFE2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val="en-US" w:eastAsia="zh-CN"/>
          <w14:textFill>
            <w14:solidFill>
              <w14:schemeClr w14:val="tx1"/>
            </w14:solidFill>
          </w14:textFill>
        </w:rPr>
        <w:t>自印发之日起实行，</w:t>
      </w:r>
      <w:r>
        <w:rPr>
          <w:rFonts w:hint="eastAsia" w:ascii="仿宋" w:hAnsi="仿宋" w:eastAsia="仿宋" w:cs="仿宋"/>
          <w:color w:val="000000" w:themeColor="text1"/>
          <w:sz w:val="32"/>
          <w:szCs w:val="32"/>
          <w14:textFill>
            <w14:solidFill>
              <w14:schemeClr w14:val="tx1"/>
            </w14:solidFill>
          </w14:textFill>
        </w:rPr>
        <w:t>由县财政局负责具体条款的解释工作。此</w:t>
      </w:r>
      <w:r>
        <w:rPr>
          <w:rFonts w:hint="eastAsia" w:ascii="仿宋" w:hAnsi="仿宋" w:eastAsia="仿宋" w:cs="仿宋"/>
          <w:color w:val="000000" w:themeColor="text1"/>
          <w:sz w:val="32"/>
          <w:szCs w:val="32"/>
          <w14:textFill>
            <w14:solidFill>
              <w14:schemeClr w14:val="tx1"/>
            </w14:solidFill>
          </w14:textFill>
        </w:rPr>
        <w:t>前县级有关国有资本收益管理规定与本办法不一致的，以本办法为准；本办法施行前已发生尚未办结的国有资本收益事项，按照原有政策处理。</w:t>
      </w:r>
      <w:r>
        <w:rPr>
          <w:rFonts w:hint="eastAsia" w:ascii="仿宋" w:hAnsi="仿宋" w:eastAsia="仿宋" w:cs="仿宋"/>
          <w:color w:val="000000" w:themeColor="text1"/>
          <w:sz w:val="32"/>
          <w:szCs w:val="32"/>
          <w14:textFill>
            <w14:solidFill>
              <w14:schemeClr w14:val="tx1"/>
            </w14:solidFill>
          </w14:textFill>
        </w:rPr>
        <w:t>重大争议事项，由县财政局会同出资人机构等共同研究后，报县政府决定。</w:t>
      </w:r>
    </w:p>
    <w:p w14:paraId="13D5BB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652F0F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附表：1.县本级国有企业国有资本收益（应交利润）申报表</w:t>
      </w:r>
    </w:p>
    <w:p w14:paraId="30B59C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2.县本级国有企业国有资本收益（国有股股息、股利红利）申报表</w:t>
      </w:r>
    </w:p>
    <w:p w14:paraId="02F1EA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3.县本级国有企业国有资本收益（国有产权转让收入）申报表</w:t>
      </w:r>
    </w:p>
    <w:p w14:paraId="3AA776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4.县本级国有企业国有资本收益（企业清算收入）申报表</w:t>
      </w:r>
    </w:p>
    <w:p w14:paraId="7B3B6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p>
    <w:p w14:paraId="7B941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4DA5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BD70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8BD70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DDE6FE"/>
    <w:multiLevelType w:val="singleLevel"/>
    <w:tmpl w:val="94DDE6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F7A3A"/>
    <w:rsid w:val="0FAD27F2"/>
    <w:rsid w:val="14085C7C"/>
    <w:rsid w:val="3C6D750D"/>
    <w:rsid w:val="4B533C05"/>
    <w:rsid w:val="525C6A3B"/>
    <w:rsid w:val="5C1271C4"/>
    <w:rsid w:val="5EDA569B"/>
    <w:rsid w:val="617A2ECF"/>
    <w:rsid w:val="63A57C71"/>
    <w:rsid w:val="665C3E5E"/>
    <w:rsid w:val="6ED673C4"/>
    <w:rsid w:val="70E707C8"/>
    <w:rsid w:val="72664A6F"/>
    <w:rsid w:val="7F55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1212</Words>
  <Characters>1234</Characters>
  <Lines>0</Lines>
  <Paragraphs>0</Paragraphs>
  <TotalTime>9</TotalTime>
  <ScaleCrop>false</ScaleCrop>
  <LinksUpToDate>false</LinksUpToDate>
  <CharactersWithSpaces>1247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2026-07-09T03:04:00Z</dcterms:created>
  <dc:creator>Administrator</dc:creator>
  <cp:lastModifiedBy>不讨喜</cp:lastModifiedBy>
  <cp:lastPrinted>2026-07-10T03:54:00Z</cp:lastPrinted>
  <dcterms:modified xsi:type="dcterms:W3CDTF">2026-08-06T05:24:43Z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eyJoZGlkIjoiZDg4NjI1Y2NkMDMxMGRmZThhNWUyZWIwY2ZiMjEzMjEiLCJ1c2VySWQiOiI2Njc2MzM0MTYifQ==</vt:lpwstr>
  </property>
  <property fmtid="{D5CDD505-2E9C-101B-9397-08002B2CF9AE}" pid="4" name="ICV">
    <vt:lpwstr>F0BF2B2F792642EA84B644ECA92E5028</vt:lpwstr>
  </property>
</Properties>
</file>