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F74CD"/>
    <w:p w14:paraId="1645AA93"/>
    <w:p w14:paraId="30E54497">
      <w:pPr>
        <w:jc w:val="center"/>
      </w:pPr>
    </w:p>
    <w:p w14:paraId="3F359D74">
      <w:pPr>
        <w:jc w:val="center"/>
      </w:pPr>
    </w:p>
    <w:p w14:paraId="27327780">
      <w:pPr>
        <w:jc w:val="center"/>
      </w:pPr>
    </w:p>
    <w:p w14:paraId="67FD9E42">
      <w:pPr>
        <w:jc w:val="center"/>
      </w:pPr>
    </w:p>
    <w:p w14:paraId="0B2AA2AD">
      <w:pPr>
        <w:jc w:val="center"/>
      </w:pPr>
    </w:p>
    <w:p w14:paraId="0364CC3C">
      <w:pPr>
        <w:jc w:val="center"/>
      </w:pPr>
    </w:p>
    <w:p w14:paraId="6B590ACC">
      <w:pPr>
        <w:jc w:val="center"/>
        <w:rPr>
          <w:rFonts w:hint="eastAsia" w:ascii="黑体" w:hAnsi="黑体" w:eastAsia="黑体"/>
          <w:sz w:val="52"/>
          <w:szCs w:val="52"/>
        </w:rPr>
      </w:pPr>
      <w:bookmarkStart w:id="0" w:name="OLE_LINK3"/>
      <w:r>
        <w:rPr>
          <w:rFonts w:hint="eastAsia" w:ascii="黑体" w:hAnsi="黑体" w:eastAsia="黑体"/>
          <w:sz w:val="52"/>
          <w:szCs w:val="52"/>
        </w:rPr>
        <w:t>托里县市政环卫一体化服务项目</w:t>
      </w:r>
    </w:p>
    <w:bookmarkEnd w:id="0"/>
    <w:p w14:paraId="3CEABF97">
      <w:pPr>
        <w:jc w:val="center"/>
        <w:rPr>
          <w:rFonts w:hint="eastAsia" w:ascii="黑体" w:hAnsi="黑体" w:eastAsia="黑体"/>
          <w:sz w:val="52"/>
          <w:szCs w:val="52"/>
          <w:lang w:eastAsia="zh-CN"/>
        </w:rPr>
      </w:pPr>
      <w:r>
        <w:rPr>
          <w:rFonts w:hint="eastAsia" w:ascii="黑体" w:hAnsi="黑体" w:eastAsia="黑体"/>
          <w:sz w:val="52"/>
          <w:szCs w:val="52"/>
        </w:rPr>
        <w:t>实施方案</w:t>
      </w:r>
      <w:r>
        <w:rPr>
          <w:rFonts w:hint="eastAsia" w:ascii="黑体" w:hAnsi="黑体" w:eastAsia="黑体"/>
          <w:sz w:val="52"/>
          <w:szCs w:val="52"/>
          <w:lang w:eastAsia="zh-CN"/>
        </w:rPr>
        <w:t>（</w:t>
      </w:r>
      <w:r>
        <w:rPr>
          <w:rFonts w:hint="eastAsia" w:ascii="黑体" w:hAnsi="黑体" w:eastAsia="黑体"/>
          <w:sz w:val="52"/>
          <w:szCs w:val="52"/>
          <w:lang w:val="en-US" w:eastAsia="zh-CN"/>
        </w:rPr>
        <w:t>草案</w:t>
      </w:r>
      <w:r>
        <w:rPr>
          <w:rFonts w:hint="eastAsia" w:ascii="黑体" w:hAnsi="黑体" w:eastAsia="黑体"/>
          <w:sz w:val="52"/>
          <w:szCs w:val="52"/>
          <w:lang w:eastAsia="zh-CN"/>
        </w:rPr>
        <w:t>）</w:t>
      </w:r>
      <w:bookmarkStart w:id="74" w:name="_GoBack"/>
      <w:bookmarkEnd w:id="74"/>
    </w:p>
    <w:p w14:paraId="231B339D">
      <w:pPr>
        <w:jc w:val="center"/>
        <w:rPr>
          <w:rFonts w:hint="eastAsia" w:ascii="黑体" w:hAnsi="黑体" w:eastAsia="黑体"/>
          <w:sz w:val="52"/>
          <w:szCs w:val="52"/>
        </w:rPr>
      </w:pPr>
    </w:p>
    <w:p w14:paraId="039E1CE2">
      <w:pPr>
        <w:jc w:val="center"/>
        <w:rPr>
          <w:rFonts w:hint="eastAsia" w:ascii="黑体" w:hAnsi="黑体" w:eastAsia="黑体"/>
          <w:sz w:val="52"/>
          <w:szCs w:val="52"/>
        </w:rPr>
      </w:pPr>
    </w:p>
    <w:p w14:paraId="5CB1066A">
      <w:pPr>
        <w:jc w:val="center"/>
        <w:rPr>
          <w:rFonts w:hint="eastAsia" w:ascii="黑体" w:hAnsi="黑体" w:eastAsia="黑体"/>
          <w:sz w:val="52"/>
          <w:szCs w:val="52"/>
        </w:rPr>
      </w:pPr>
    </w:p>
    <w:p w14:paraId="5EE1112E">
      <w:pPr>
        <w:jc w:val="center"/>
        <w:rPr>
          <w:rFonts w:hint="eastAsia" w:ascii="黑体" w:hAnsi="黑体" w:eastAsia="黑体"/>
          <w:sz w:val="52"/>
          <w:szCs w:val="52"/>
        </w:rPr>
      </w:pPr>
    </w:p>
    <w:p w14:paraId="479D30B0">
      <w:pPr>
        <w:jc w:val="center"/>
        <w:rPr>
          <w:rFonts w:hint="eastAsia" w:ascii="黑体" w:hAnsi="黑体" w:eastAsia="黑体"/>
          <w:sz w:val="52"/>
          <w:szCs w:val="52"/>
        </w:rPr>
      </w:pPr>
    </w:p>
    <w:p w14:paraId="16F41081"/>
    <w:p w14:paraId="0EE665EC">
      <w:pPr>
        <w:sectPr>
          <w:pgSz w:w="11906" w:h="16838"/>
          <w:pgMar w:top="1440" w:right="1800" w:bottom="1440" w:left="1800" w:header="851" w:footer="992" w:gutter="0"/>
          <w:pgNumType w:start="1"/>
          <w:cols w:space="425" w:num="1"/>
          <w:docGrid w:type="lines" w:linePitch="381" w:charSpace="0"/>
        </w:sectPr>
      </w:pPr>
    </w:p>
    <w:p w14:paraId="4F886618">
      <w:pPr>
        <w:pStyle w:val="66"/>
        <w:jc w:val="center"/>
        <w:rPr>
          <w:rFonts w:ascii="仿宋_GB2312" w:eastAsia="仿宋_GB2312"/>
          <w:color w:val="auto"/>
        </w:rPr>
      </w:pPr>
      <w:r>
        <w:rPr>
          <w:rFonts w:hint="eastAsia" w:ascii="仿宋_GB2312" w:eastAsia="仿宋_GB2312"/>
          <w:color w:val="auto"/>
          <w:lang w:val="zh-CN"/>
        </w:rPr>
        <w:t>目 录</w:t>
      </w:r>
    </w:p>
    <w:p w14:paraId="0D232524">
      <w:pPr>
        <w:pStyle w:val="23"/>
        <w:tabs>
          <w:tab w:val="right" w:leader="dot" w:pos="8306"/>
          <w:tab w:val="clear" w:pos="8296"/>
        </w:tabs>
      </w:pPr>
      <w:r>
        <w:rPr>
          <w:rFonts w:hint="eastAsia" w:ascii="宋体" w:hAnsi="宋体" w:eastAsia="宋体"/>
          <w:szCs w:val="28"/>
        </w:rPr>
        <w:fldChar w:fldCharType="begin"/>
      </w:r>
      <w:r>
        <w:rPr>
          <w:rFonts w:hint="eastAsia" w:ascii="宋体" w:hAnsi="宋体" w:eastAsia="宋体"/>
          <w:szCs w:val="28"/>
        </w:rPr>
        <w:instrText xml:space="preserve"> TOC \o "1-3" \h \z \u </w:instrText>
      </w:r>
      <w:r>
        <w:rPr>
          <w:rFonts w:hint="eastAsia" w:ascii="宋体" w:hAnsi="宋体" w:eastAsia="宋体"/>
          <w:szCs w:val="28"/>
        </w:rPr>
        <w:fldChar w:fldCharType="separate"/>
      </w:r>
      <w:r>
        <w:rPr>
          <w:rFonts w:hint="eastAsia" w:ascii="宋体" w:hAnsi="宋体" w:eastAsia="宋体"/>
          <w:szCs w:val="28"/>
        </w:rPr>
        <w:fldChar w:fldCharType="begin"/>
      </w:r>
      <w:r>
        <w:rPr>
          <w:rFonts w:hint="eastAsia" w:ascii="宋体" w:hAnsi="宋体" w:eastAsia="宋体"/>
          <w:szCs w:val="28"/>
        </w:rPr>
        <w:instrText xml:space="preserve"> HYPERLINK \l _Toc31591 </w:instrText>
      </w:r>
      <w:r>
        <w:rPr>
          <w:rFonts w:hint="eastAsia" w:ascii="宋体" w:hAnsi="宋体" w:eastAsia="宋体"/>
          <w:szCs w:val="28"/>
        </w:rPr>
        <w:fldChar w:fldCharType="separate"/>
      </w:r>
      <w:r>
        <w:t>前</w:t>
      </w:r>
      <w:r>
        <w:rPr>
          <w:rFonts w:hint="eastAsia"/>
        </w:rPr>
        <w:t xml:space="preserve"> </w:t>
      </w:r>
      <w:r>
        <w:t>言</w:t>
      </w:r>
      <w:r>
        <w:tab/>
      </w:r>
      <w:r>
        <w:fldChar w:fldCharType="begin"/>
      </w:r>
      <w:r>
        <w:instrText xml:space="preserve"> PAGEREF _Toc31591 \h </w:instrText>
      </w:r>
      <w:r>
        <w:fldChar w:fldCharType="separate"/>
      </w:r>
      <w:r>
        <w:t>1</w:t>
      </w:r>
      <w:r>
        <w:fldChar w:fldCharType="end"/>
      </w:r>
      <w:r>
        <w:rPr>
          <w:rFonts w:hint="eastAsia" w:ascii="宋体" w:hAnsi="宋体" w:eastAsia="宋体"/>
          <w:szCs w:val="28"/>
        </w:rPr>
        <w:fldChar w:fldCharType="end"/>
      </w:r>
    </w:p>
    <w:p w14:paraId="32A9A7E0">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_Toc2454 </w:instrText>
      </w:r>
      <w:r>
        <w:rPr>
          <w:rFonts w:hint="eastAsia" w:ascii="宋体" w:hAnsi="宋体" w:eastAsia="宋体"/>
          <w:bCs/>
          <w:szCs w:val="28"/>
          <w:lang w:val="zh-CN"/>
        </w:rPr>
        <w:fldChar w:fldCharType="separate"/>
      </w:r>
      <w:r>
        <w:rPr>
          <w:rFonts w:hint="eastAsia"/>
        </w:rPr>
        <w:t>公平竞争审查声明</w:t>
      </w:r>
      <w:r>
        <w:tab/>
      </w:r>
      <w:r>
        <w:fldChar w:fldCharType="begin"/>
      </w:r>
      <w:r>
        <w:instrText xml:space="preserve"> PAGEREF _Toc2454 \h </w:instrText>
      </w:r>
      <w:r>
        <w:fldChar w:fldCharType="separate"/>
      </w:r>
      <w:r>
        <w:t>1</w:t>
      </w:r>
      <w:r>
        <w:fldChar w:fldCharType="end"/>
      </w:r>
      <w:r>
        <w:rPr>
          <w:rFonts w:hint="eastAsia" w:ascii="宋体" w:hAnsi="宋体" w:eastAsia="宋体"/>
          <w:bCs/>
          <w:szCs w:val="28"/>
          <w:lang w:val="zh-CN"/>
        </w:rPr>
        <w:fldChar w:fldCharType="end"/>
      </w:r>
    </w:p>
    <w:p w14:paraId="4CDC1E4F">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_Toc29389 </w:instrText>
      </w:r>
      <w:r>
        <w:rPr>
          <w:rFonts w:hint="eastAsia" w:ascii="宋体" w:hAnsi="宋体" w:eastAsia="宋体"/>
          <w:bCs/>
          <w:szCs w:val="28"/>
          <w:lang w:val="zh-CN"/>
        </w:rPr>
        <w:fldChar w:fldCharType="separate"/>
      </w:r>
      <w:r>
        <w:rPr>
          <w:rFonts w:hint="eastAsia"/>
        </w:rPr>
        <w:t>一、项目现状概述</w:t>
      </w:r>
      <w:r>
        <w:tab/>
      </w:r>
      <w:r>
        <w:fldChar w:fldCharType="begin"/>
      </w:r>
      <w:r>
        <w:instrText xml:space="preserve"> PAGEREF _Toc29389 \h </w:instrText>
      </w:r>
      <w:r>
        <w:fldChar w:fldCharType="separate"/>
      </w:r>
      <w:r>
        <w:t>2</w:t>
      </w:r>
      <w:r>
        <w:fldChar w:fldCharType="end"/>
      </w:r>
      <w:r>
        <w:rPr>
          <w:rFonts w:hint="eastAsia" w:ascii="宋体" w:hAnsi="宋体" w:eastAsia="宋体"/>
          <w:bCs/>
          <w:szCs w:val="28"/>
          <w:lang w:val="zh-CN"/>
        </w:rPr>
        <w:fldChar w:fldCharType="end"/>
      </w:r>
    </w:p>
    <w:p w14:paraId="1D7BF38B">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_Toc5709 </w:instrText>
      </w:r>
      <w:r>
        <w:rPr>
          <w:rFonts w:hint="eastAsia" w:ascii="宋体" w:hAnsi="宋体" w:eastAsia="宋体"/>
          <w:bCs/>
          <w:szCs w:val="28"/>
          <w:lang w:val="zh-CN"/>
        </w:rPr>
        <w:fldChar w:fldCharType="separate"/>
      </w:r>
      <w:r>
        <w:rPr>
          <w:rFonts w:hint="eastAsia"/>
        </w:rPr>
        <w:t>（一）目前管理结构</w:t>
      </w:r>
      <w:r>
        <w:tab/>
      </w:r>
      <w:r>
        <w:fldChar w:fldCharType="begin"/>
      </w:r>
      <w:r>
        <w:instrText xml:space="preserve"> PAGEREF _Toc5709 \h </w:instrText>
      </w:r>
      <w:r>
        <w:fldChar w:fldCharType="separate"/>
      </w:r>
      <w:r>
        <w:t>2</w:t>
      </w:r>
      <w:r>
        <w:fldChar w:fldCharType="end"/>
      </w:r>
      <w:r>
        <w:rPr>
          <w:rFonts w:hint="eastAsia" w:ascii="宋体" w:hAnsi="宋体" w:eastAsia="宋体"/>
          <w:bCs/>
          <w:szCs w:val="28"/>
          <w:lang w:val="zh-CN"/>
        </w:rPr>
        <w:fldChar w:fldCharType="end"/>
      </w:r>
    </w:p>
    <w:p w14:paraId="0F3EBC89">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_Toc32528 </w:instrText>
      </w:r>
      <w:r>
        <w:rPr>
          <w:rFonts w:hint="eastAsia" w:ascii="宋体" w:hAnsi="宋体" w:eastAsia="宋体"/>
          <w:bCs/>
          <w:szCs w:val="28"/>
          <w:lang w:val="zh-CN"/>
        </w:rPr>
        <w:fldChar w:fldCharType="separate"/>
      </w:r>
      <w:r>
        <w:rPr>
          <w:rFonts w:hint="eastAsia"/>
        </w:rPr>
        <w:t>（二）目前主要的工作内容及范围</w:t>
      </w:r>
      <w:r>
        <w:tab/>
      </w:r>
      <w:r>
        <w:fldChar w:fldCharType="begin"/>
      </w:r>
      <w:r>
        <w:instrText xml:space="preserve"> PAGEREF _Toc32528 \h </w:instrText>
      </w:r>
      <w:r>
        <w:fldChar w:fldCharType="separate"/>
      </w:r>
      <w:r>
        <w:t>2</w:t>
      </w:r>
      <w:r>
        <w:fldChar w:fldCharType="end"/>
      </w:r>
      <w:r>
        <w:rPr>
          <w:rFonts w:hint="eastAsia" w:ascii="宋体" w:hAnsi="宋体" w:eastAsia="宋体"/>
          <w:bCs/>
          <w:szCs w:val="28"/>
          <w:lang w:val="zh-CN"/>
        </w:rPr>
        <w:fldChar w:fldCharType="end"/>
      </w:r>
    </w:p>
    <w:p w14:paraId="53B2DBEA">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_Toc14576 </w:instrText>
      </w:r>
      <w:r>
        <w:rPr>
          <w:rFonts w:hint="eastAsia" w:ascii="宋体" w:hAnsi="宋体" w:eastAsia="宋体"/>
          <w:bCs/>
          <w:szCs w:val="28"/>
          <w:lang w:val="zh-CN"/>
        </w:rPr>
        <w:fldChar w:fldCharType="separate"/>
      </w:r>
      <w:r>
        <w:rPr>
          <w:rFonts w:hint="eastAsia"/>
        </w:rPr>
        <w:t>（三）目前在职人员情况</w:t>
      </w:r>
      <w:r>
        <w:tab/>
      </w:r>
      <w:r>
        <w:fldChar w:fldCharType="begin"/>
      </w:r>
      <w:r>
        <w:instrText xml:space="preserve"> PAGEREF _Toc14576 \h </w:instrText>
      </w:r>
      <w:r>
        <w:fldChar w:fldCharType="separate"/>
      </w:r>
      <w:r>
        <w:t>4</w:t>
      </w:r>
      <w:r>
        <w:fldChar w:fldCharType="end"/>
      </w:r>
      <w:r>
        <w:rPr>
          <w:rFonts w:hint="eastAsia" w:ascii="宋体" w:hAnsi="宋体" w:eastAsia="宋体"/>
          <w:bCs/>
          <w:szCs w:val="28"/>
          <w:lang w:val="zh-CN"/>
        </w:rPr>
        <w:fldChar w:fldCharType="end"/>
      </w:r>
    </w:p>
    <w:p w14:paraId="469A5EE3">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_Toc9479 </w:instrText>
      </w:r>
      <w:r>
        <w:rPr>
          <w:rFonts w:hint="eastAsia" w:ascii="宋体" w:hAnsi="宋体" w:eastAsia="宋体"/>
          <w:bCs/>
          <w:szCs w:val="28"/>
          <w:lang w:val="zh-CN"/>
        </w:rPr>
        <w:fldChar w:fldCharType="separate"/>
      </w:r>
      <w:r>
        <w:rPr>
          <w:rFonts w:hint="eastAsia"/>
        </w:rPr>
        <w:t>（四）现有车辆情况</w:t>
      </w:r>
      <w:r>
        <w:tab/>
      </w:r>
      <w:r>
        <w:fldChar w:fldCharType="begin"/>
      </w:r>
      <w:r>
        <w:instrText xml:space="preserve"> PAGEREF _Toc9479 \h </w:instrText>
      </w:r>
      <w:r>
        <w:fldChar w:fldCharType="separate"/>
      </w:r>
      <w:r>
        <w:t>4</w:t>
      </w:r>
      <w:r>
        <w:fldChar w:fldCharType="end"/>
      </w:r>
      <w:r>
        <w:rPr>
          <w:rFonts w:hint="eastAsia" w:ascii="宋体" w:hAnsi="宋体" w:eastAsia="宋体"/>
          <w:bCs/>
          <w:szCs w:val="28"/>
          <w:lang w:val="zh-CN"/>
        </w:rPr>
        <w:fldChar w:fldCharType="end"/>
      </w:r>
    </w:p>
    <w:p w14:paraId="5788FDA8">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_Toc28936 </w:instrText>
      </w:r>
      <w:r>
        <w:rPr>
          <w:rFonts w:hint="eastAsia" w:ascii="宋体" w:hAnsi="宋体" w:eastAsia="宋体"/>
          <w:bCs/>
          <w:szCs w:val="28"/>
          <w:lang w:val="zh-CN"/>
        </w:rPr>
        <w:fldChar w:fldCharType="separate"/>
      </w:r>
      <w:r>
        <w:rPr>
          <w:rFonts w:hint="eastAsia"/>
        </w:rPr>
        <w:t>（五）现有生活垃圾收集设施情况</w:t>
      </w:r>
      <w:r>
        <w:tab/>
      </w:r>
      <w:r>
        <w:fldChar w:fldCharType="begin"/>
      </w:r>
      <w:r>
        <w:instrText xml:space="preserve"> PAGEREF _Toc28936 \h </w:instrText>
      </w:r>
      <w:r>
        <w:fldChar w:fldCharType="separate"/>
      </w:r>
      <w:r>
        <w:t>5</w:t>
      </w:r>
      <w:r>
        <w:fldChar w:fldCharType="end"/>
      </w:r>
      <w:r>
        <w:rPr>
          <w:rFonts w:hint="eastAsia" w:ascii="宋体" w:hAnsi="宋体" w:eastAsia="宋体"/>
          <w:bCs/>
          <w:szCs w:val="28"/>
          <w:lang w:val="zh-CN"/>
        </w:rPr>
        <w:fldChar w:fldCharType="end"/>
      </w:r>
    </w:p>
    <w:p w14:paraId="57DB7ED2">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_Toc995 </w:instrText>
      </w:r>
      <w:r>
        <w:rPr>
          <w:rFonts w:hint="eastAsia" w:ascii="宋体" w:hAnsi="宋体" w:eastAsia="宋体"/>
          <w:bCs/>
          <w:szCs w:val="28"/>
          <w:lang w:val="zh-CN"/>
        </w:rPr>
        <w:fldChar w:fldCharType="separate"/>
      </w:r>
      <w:r>
        <w:rPr>
          <w:rFonts w:hint="eastAsia"/>
          <w:highlight w:val="none"/>
        </w:rPr>
        <w:t>（六）近三年费用支出情况</w:t>
      </w:r>
      <w:r>
        <w:tab/>
      </w:r>
      <w:r>
        <w:fldChar w:fldCharType="begin"/>
      </w:r>
      <w:r>
        <w:instrText xml:space="preserve"> PAGEREF _Toc995 \h </w:instrText>
      </w:r>
      <w:r>
        <w:fldChar w:fldCharType="separate"/>
      </w:r>
      <w:r>
        <w:t>5</w:t>
      </w:r>
      <w:r>
        <w:fldChar w:fldCharType="end"/>
      </w:r>
      <w:r>
        <w:rPr>
          <w:rFonts w:hint="eastAsia" w:ascii="宋体" w:hAnsi="宋体" w:eastAsia="宋体"/>
          <w:bCs/>
          <w:szCs w:val="28"/>
          <w:lang w:val="zh-CN"/>
        </w:rPr>
        <w:fldChar w:fldCharType="end"/>
      </w:r>
    </w:p>
    <w:p w14:paraId="4E01BE44">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_Toc12201 </w:instrText>
      </w:r>
      <w:r>
        <w:rPr>
          <w:rFonts w:hint="eastAsia" w:ascii="宋体" w:hAnsi="宋体" w:eastAsia="宋体"/>
          <w:bCs/>
          <w:szCs w:val="28"/>
          <w:lang w:val="zh-CN"/>
        </w:rPr>
        <w:fldChar w:fldCharType="separate"/>
      </w:r>
      <w:r>
        <w:rPr>
          <w:rFonts w:hint="eastAsia"/>
        </w:rPr>
        <w:t>二、现有人员安置</w:t>
      </w:r>
      <w:r>
        <w:tab/>
      </w:r>
      <w:r>
        <w:fldChar w:fldCharType="begin"/>
      </w:r>
      <w:r>
        <w:instrText xml:space="preserve"> PAGEREF _Toc12201 \h </w:instrText>
      </w:r>
      <w:r>
        <w:fldChar w:fldCharType="separate"/>
      </w:r>
      <w:r>
        <w:t>5</w:t>
      </w:r>
      <w:r>
        <w:fldChar w:fldCharType="end"/>
      </w:r>
      <w:r>
        <w:rPr>
          <w:rFonts w:hint="eastAsia" w:ascii="宋体" w:hAnsi="宋体" w:eastAsia="宋体"/>
          <w:bCs/>
          <w:szCs w:val="28"/>
          <w:lang w:val="zh-CN"/>
        </w:rPr>
        <w:fldChar w:fldCharType="end"/>
      </w:r>
    </w:p>
    <w:p w14:paraId="0B89A3B6">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_Toc25729 </w:instrText>
      </w:r>
      <w:r>
        <w:rPr>
          <w:rFonts w:hint="eastAsia" w:ascii="宋体" w:hAnsi="宋体" w:eastAsia="宋体"/>
          <w:bCs/>
          <w:szCs w:val="28"/>
          <w:lang w:val="zh-CN"/>
        </w:rPr>
        <w:fldChar w:fldCharType="separate"/>
      </w:r>
      <w:r>
        <w:rPr>
          <w:rFonts w:hint="eastAsia"/>
        </w:rPr>
        <w:t>三、</w:t>
      </w:r>
      <w:r>
        <w:t>现有</w:t>
      </w:r>
      <w:r>
        <w:rPr>
          <w:rFonts w:hint="eastAsia"/>
        </w:rPr>
        <w:t>固定</w:t>
      </w:r>
      <w:r>
        <w:t>资产处置方式</w:t>
      </w:r>
      <w:r>
        <w:tab/>
      </w:r>
      <w:r>
        <w:fldChar w:fldCharType="begin"/>
      </w:r>
      <w:r>
        <w:instrText xml:space="preserve"> PAGEREF _Toc25729 \h </w:instrText>
      </w:r>
      <w:r>
        <w:fldChar w:fldCharType="separate"/>
      </w:r>
      <w:r>
        <w:t>6</w:t>
      </w:r>
      <w:r>
        <w:fldChar w:fldCharType="end"/>
      </w:r>
      <w:r>
        <w:rPr>
          <w:rFonts w:hint="eastAsia" w:ascii="宋体" w:hAnsi="宋体" w:eastAsia="宋体"/>
          <w:bCs/>
          <w:szCs w:val="28"/>
          <w:lang w:val="zh-CN"/>
        </w:rPr>
        <w:fldChar w:fldCharType="end"/>
      </w:r>
    </w:p>
    <w:p w14:paraId="4EEA3085">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_Toc11758 </w:instrText>
      </w:r>
      <w:r>
        <w:rPr>
          <w:rFonts w:hint="eastAsia" w:ascii="宋体" w:hAnsi="宋体" w:eastAsia="宋体"/>
          <w:bCs/>
          <w:szCs w:val="28"/>
          <w:lang w:val="zh-CN"/>
        </w:rPr>
        <w:fldChar w:fldCharType="separate"/>
      </w:r>
      <w:r>
        <w:rPr>
          <w:rFonts w:hint="eastAsia"/>
        </w:rPr>
        <w:t>（一）设施设备</w:t>
      </w:r>
      <w:r>
        <w:tab/>
      </w:r>
      <w:r>
        <w:fldChar w:fldCharType="begin"/>
      </w:r>
      <w:r>
        <w:instrText xml:space="preserve"> PAGEREF _Toc11758 \h </w:instrText>
      </w:r>
      <w:r>
        <w:fldChar w:fldCharType="separate"/>
      </w:r>
      <w:r>
        <w:t>6</w:t>
      </w:r>
      <w:r>
        <w:fldChar w:fldCharType="end"/>
      </w:r>
      <w:r>
        <w:rPr>
          <w:rFonts w:hint="eastAsia" w:ascii="宋体" w:hAnsi="宋体" w:eastAsia="宋体"/>
          <w:bCs/>
          <w:szCs w:val="28"/>
          <w:lang w:val="zh-CN"/>
        </w:rPr>
        <w:fldChar w:fldCharType="end"/>
      </w:r>
    </w:p>
    <w:p w14:paraId="79A01D33">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_Toc10364 </w:instrText>
      </w:r>
      <w:r>
        <w:rPr>
          <w:rFonts w:hint="eastAsia" w:ascii="宋体" w:hAnsi="宋体" w:eastAsia="宋体"/>
          <w:bCs/>
          <w:szCs w:val="28"/>
          <w:lang w:val="zh-CN"/>
        </w:rPr>
        <w:fldChar w:fldCharType="separate"/>
      </w:r>
      <w:r>
        <w:rPr>
          <w:rFonts w:hint="eastAsia"/>
        </w:rPr>
        <w:t>（二）</w:t>
      </w:r>
      <w:r>
        <w:t>资产权属</w:t>
      </w:r>
      <w:r>
        <w:tab/>
      </w:r>
      <w:r>
        <w:fldChar w:fldCharType="begin"/>
      </w:r>
      <w:r>
        <w:instrText xml:space="preserve"> PAGEREF _Toc10364 \h </w:instrText>
      </w:r>
      <w:r>
        <w:fldChar w:fldCharType="separate"/>
      </w:r>
      <w:r>
        <w:t>7</w:t>
      </w:r>
      <w:r>
        <w:fldChar w:fldCharType="end"/>
      </w:r>
      <w:r>
        <w:rPr>
          <w:rFonts w:hint="eastAsia" w:ascii="宋体" w:hAnsi="宋体" w:eastAsia="宋体"/>
          <w:bCs/>
          <w:szCs w:val="28"/>
          <w:lang w:val="zh-CN"/>
        </w:rPr>
        <w:fldChar w:fldCharType="end"/>
      </w:r>
    </w:p>
    <w:p w14:paraId="459A4290">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_Toc18501 </w:instrText>
      </w:r>
      <w:r>
        <w:rPr>
          <w:rFonts w:hint="eastAsia" w:ascii="宋体" w:hAnsi="宋体" w:eastAsia="宋体"/>
          <w:bCs/>
          <w:szCs w:val="28"/>
          <w:lang w:val="zh-CN"/>
        </w:rPr>
        <w:fldChar w:fldCharType="separate"/>
      </w:r>
      <w:r>
        <w:rPr>
          <w:rFonts w:hint="eastAsia"/>
        </w:rPr>
        <w:t>（三）</w:t>
      </w:r>
      <w:r>
        <w:t>资产限制</w:t>
      </w:r>
      <w:r>
        <w:tab/>
      </w:r>
      <w:r>
        <w:fldChar w:fldCharType="begin"/>
      </w:r>
      <w:r>
        <w:instrText xml:space="preserve"> PAGEREF _Toc18501 \h </w:instrText>
      </w:r>
      <w:r>
        <w:fldChar w:fldCharType="separate"/>
      </w:r>
      <w:r>
        <w:t>7</w:t>
      </w:r>
      <w:r>
        <w:fldChar w:fldCharType="end"/>
      </w:r>
      <w:r>
        <w:rPr>
          <w:rFonts w:hint="eastAsia" w:ascii="宋体" w:hAnsi="宋体" w:eastAsia="宋体"/>
          <w:bCs/>
          <w:szCs w:val="28"/>
          <w:lang w:val="zh-CN"/>
        </w:rPr>
        <w:fldChar w:fldCharType="end"/>
      </w:r>
    </w:p>
    <w:p w14:paraId="10408C3D">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_Toc16062 </w:instrText>
      </w:r>
      <w:r>
        <w:rPr>
          <w:rFonts w:hint="eastAsia" w:ascii="宋体" w:hAnsi="宋体" w:eastAsia="宋体"/>
          <w:bCs/>
          <w:szCs w:val="28"/>
          <w:lang w:val="zh-CN"/>
        </w:rPr>
        <w:fldChar w:fldCharType="separate"/>
      </w:r>
      <w:r>
        <w:rPr>
          <w:rFonts w:hint="eastAsia"/>
        </w:rPr>
        <w:t>四、托里县市政、环卫运营目前面临的痛点难点</w:t>
      </w:r>
      <w:r>
        <w:tab/>
      </w:r>
      <w:r>
        <w:fldChar w:fldCharType="begin"/>
      </w:r>
      <w:r>
        <w:instrText xml:space="preserve"> PAGEREF _Toc16062 \h </w:instrText>
      </w:r>
      <w:r>
        <w:fldChar w:fldCharType="separate"/>
      </w:r>
      <w:r>
        <w:t>8</w:t>
      </w:r>
      <w:r>
        <w:fldChar w:fldCharType="end"/>
      </w:r>
      <w:r>
        <w:rPr>
          <w:rFonts w:hint="eastAsia" w:ascii="宋体" w:hAnsi="宋体" w:eastAsia="宋体"/>
          <w:bCs/>
          <w:szCs w:val="28"/>
          <w:lang w:val="zh-CN"/>
        </w:rPr>
        <w:fldChar w:fldCharType="end"/>
      </w:r>
    </w:p>
    <w:p w14:paraId="29E10CAD">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_Toc3394 </w:instrText>
      </w:r>
      <w:r>
        <w:rPr>
          <w:rFonts w:hint="eastAsia" w:ascii="宋体" w:hAnsi="宋体" w:eastAsia="宋体"/>
          <w:bCs/>
          <w:szCs w:val="28"/>
          <w:lang w:val="zh-CN"/>
        </w:rPr>
        <w:fldChar w:fldCharType="separate"/>
      </w:r>
      <w:r>
        <w:rPr>
          <w:rFonts w:hint="eastAsia"/>
        </w:rPr>
        <w:t>五、市场化的利好</w:t>
      </w:r>
      <w:r>
        <w:tab/>
      </w:r>
      <w:r>
        <w:fldChar w:fldCharType="begin"/>
      </w:r>
      <w:r>
        <w:instrText xml:space="preserve"> PAGEREF _Toc3394 \h </w:instrText>
      </w:r>
      <w:r>
        <w:fldChar w:fldCharType="separate"/>
      </w:r>
      <w:r>
        <w:t>9</w:t>
      </w:r>
      <w:r>
        <w:fldChar w:fldCharType="end"/>
      </w:r>
      <w:r>
        <w:rPr>
          <w:rFonts w:hint="eastAsia" w:ascii="宋体" w:hAnsi="宋体" w:eastAsia="宋体"/>
          <w:bCs/>
          <w:szCs w:val="28"/>
          <w:lang w:val="zh-CN"/>
        </w:rPr>
        <w:fldChar w:fldCharType="end"/>
      </w:r>
    </w:p>
    <w:p w14:paraId="4F6F0720">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_Toc12700 </w:instrText>
      </w:r>
      <w:r>
        <w:rPr>
          <w:rFonts w:hint="eastAsia" w:ascii="宋体" w:hAnsi="宋体" w:eastAsia="宋体"/>
          <w:bCs/>
          <w:szCs w:val="28"/>
          <w:lang w:val="zh-CN"/>
        </w:rPr>
        <w:fldChar w:fldCharType="separate"/>
      </w:r>
      <w:r>
        <w:rPr>
          <w:rFonts w:hint="eastAsia"/>
        </w:rPr>
        <w:t>（一）有利于行政职能精准定位</w:t>
      </w:r>
      <w:r>
        <w:tab/>
      </w:r>
      <w:r>
        <w:fldChar w:fldCharType="begin"/>
      </w:r>
      <w:r>
        <w:instrText xml:space="preserve"> PAGEREF _Toc12700 \h </w:instrText>
      </w:r>
      <w:r>
        <w:fldChar w:fldCharType="separate"/>
      </w:r>
      <w:r>
        <w:t>9</w:t>
      </w:r>
      <w:r>
        <w:fldChar w:fldCharType="end"/>
      </w:r>
      <w:r>
        <w:rPr>
          <w:rFonts w:hint="eastAsia" w:ascii="宋体" w:hAnsi="宋体" w:eastAsia="宋体"/>
          <w:bCs/>
          <w:szCs w:val="28"/>
          <w:lang w:val="zh-CN"/>
        </w:rPr>
        <w:fldChar w:fldCharType="end"/>
      </w:r>
    </w:p>
    <w:p w14:paraId="3512D072">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_Toc25546 </w:instrText>
      </w:r>
      <w:r>
        <w:rPr>
          <w:rFonts w:hint="eastAsia" w:ascii="宋体" w:hAnsi="宋体" w:eastAsia="宋体"/>
          <w:bCs/>
          <w:szCs w:val="28"/>
          <w:lang w:val="zh-CN"/>
        </w:rPr>
        <w:fldChar w:fldCharType="separate"/>
      </w:r>
      <w:r>
        <w:rPr>
          <w:rFonts w:hint="eastAsia"/>
        </w:rPr>
        <w:t>（二）有利于质量评价标准的统一</w:t>
      </w:r>
      <w:r>
        <w:tab/>
      </w:r>
      <w:r>
        <w:fldChar w:fldCharType="begin"/>
      </w:r>
      <w:r>
        <w:instrText xml:space="preserve"> PAGEREF _Toc25546 \h </w:instrText>
      </w:r>
      <w:r>
        <w:fldChar w:fldCharType="separate"/>
      </w:r>
      <w:r>
        <w:t>10</w:t>
      </w:r>
      <w:r>
        <w:fldChar w:fldCharType="end"/>
      </w:r>
      <w:r>
        <w:rPr>
          <w:rFonts w:hint="eastAsia" w:ascii="宋体" w:hAnsi="宋体" w:eastAsia="宋体"/>
          <w:bCs/>
          <w:szCs w:val="28"/>
          <w:lang w:val="zh-CN"/>
        </w:rPr>
        <w:fldChar w:fldCharType="end"/>
      </w:r>
    </w:p>
    <w:p w14:paraId="012F4481">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_Toc17086 </w:instrText>
      </w:r>
      <w:r>
        <w:rPr>
          <w:rFonts w:hint="eastAsia" w:ascii="宋体" w:hAnsi="宋体" w:eastAsia="宋体"/>
          <w:bCs/>
          <w:szCs w:val="28"/>
          <w:lang w:val="zh-CN"/>
        </w:rPr>
        <w:fldChar w:fldCharType="separate"/>
      </w:r>
      <w:r>
        <w:rPr>
          <w:rFonts w:hint="eastAsia"/>
        </w:rPr>
        <w:t>（三）有利于政府财政预算总额控制</w:t>
      </w:r>
      <w:r>
        <w:tab/>
      </w:r>
      <w:r>
        <w:fldChar w:fldCharType="begin"/>
      </w:r>
      <w:r>
        <w:instrText xml:space="preserve"> PAGEREF _Toc17086 \h </w:instrText>
      </w:r>
      <w:r>
        <w:fldChar w:fldCharType="separate"/>
      </w:r>
      <w:r>
        <w:t>10</w:t>
      </w:r>
      <w:r>
        <w:fldChar w:fldCharType="end"/>
      </w:r>
      <w:r>
        <w:rPr>
          <w:rFonts w:hint="eastAsia" w:ascii="宋体" w:hAnsi="宋体" w:eastAsia="宋体"/>
          <w:bCs/>
          <w:szCs w:val="28"/>
          <w:lang w:val="zh-CN"/>
        </w:rPr>
        <w:fldChar w:fldCharType="end"/>
      </w:r>
    </w:p>
    <w:p w14:paraId="0BEFA992">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_Toc3029 </w:instrText>
      </w:r>
      <w:r>
        <w:rPr>
          <w:rFonts w:hint="eastAsia" w:ascii="宋体" w:hAnsi="宋体" w:eastAsia="宋体"/>
          <w:bCs/>
          <w:szCs w:val="28"/>
          <w:lang w:val="zh-CN"/>
        </w:rPr>
        <w:fldChar w:fldCharType="separate"/>
      </w:r>
      <w:r>
        <w:rPr>
          <w:rFonts w:hint="eastAsia"/>
        </w:rPr>
        <w:t>（四）有利于减轻财政负担</w:t>
      </w:r>
      <w:r>
        <w:tab/>
      </w:r>
      <w:r>
        <w:fldChar w:fldCharType="begin"/>
      </w:r>
      <w:r>
        <w:instrText xml:space="preserve"> PAGEREF _Toc3029 \h </w:instrText>
      </w:r>
      <w:r>
        <w:fldChar w:fldCharType="separate"/>
      </w:r>
      <w:r>
        <w:t>10</w:t>
      </w:r>
      <w:r>
        <w:fldChar w:fldCharType="end"/>
      </w:r>
      <w:r>
        <w:rPr>
          <w:rFonts w:hint="eastAsia" w:ascii="宋体" w:hAnsi="宋体" w:eastAsia="宋体"/>
          <w:bCs/>
          <w:szCs w:val="28"/>
          <w:lang w:val="zh-CN"/>
        </w:rPr>
        <w:fldChar w:fldCharType="end"/>
      </w:r>
    </w:p>
    <w:p w14:paraId="174093BE">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_Toc27494 </w:instrText>
      </w:r>
      <w:r>
        <w:rPr>
          <w:rFonts w:hint="eastAsia" w:ascii="宋体" w:hAnsi="宋体" w:eastAsia="宋体"/>
          <w:bCs/>
          <w:szCs w:val="28"/>
          <w:lang w:val="zh-CN"/>
        </w:rPr>
        <w:fldChar w:fldCharType="separate"/>
      </w:r>
      <w:r>
        <w:rPr>
          <w:rFonts w:hint="eastAsia"/>
        </w:rPr>
        <w:t>（五）有利于城市管理服务品质提档升级</w:t>
      </w:r>
      <w:r>
        <w:tab/>
      </w:r>
      <w:r>
        <w:fldChar w:fldCharType="begin"/>
      </w:r>
      <w:r>
        <w:instrText xml:space="preserve"> PAGEREF _Toc27494 \h </w:instrText>
      </w:r>
      <w:r>
        <w:fldChar w:fldCharType="separate"/>
      </w:r>
      <w:r>
        <w:t>10</w:t>
      </w:r>
      <w:r>
        <w:fldChar w:fldCharType="end"/>
      </w:r>
      <w:r>
        <w:rPr>
          <w:rFonts w:hint="eastAsia" w:ascii="宋体" w:hAnsi="宋体" w:eastAsia="宋体"/>
          <w:bCs/>
          <w:szCs w:val="28"/>
          <w:lang w:val="zh-CN"/>
        </w:rPr>
        <w:fldChar w:fldCharType="end"/>
      </w:r>
    </w:p>
    <w:p w14:paraId="407D01A7">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_Toc5666 </w:instrText>
      </w:r>
      <w:r>
        <w:rPr>
          <w:rFonts w:hint="eastAsia" w:ascii="宋体" w:hAnsi="宋体" w:eastAsia="宋体"/>
          <w:bCs/>
          <w:szCs w:val="28"/>
          <w:lang w:val="zh-CN"/>
        </w:rPr>
        <w:fldChar w:fldCharType="separate"/>
      </w:r>
      <w:r>
        <w:rPr>
          <w:rFonts w:hint="eastAsia"/>
        </w:rPr>
        <w:t>（六）有利于矛盾转换和风险转移</w:t>
      </w:r>
      <w:r>
        <w:tab/>
      </w:r>
      <w:r>
        <w:fldChar w:fldCharType="begin"/>
      </w:r>
      <w:r>
        <w:instrText xml:space="preserve"> PAGEREF _Toc5666 \h </w:instrText>
      </w:r>
      <w:r>
        <w:fldChar w:fldCharType="separate"/>
      </w:r>
      <w:r>
        <w:t>11</w:t>
      </w:r>
      <w:r>
        <w:fldChar w:fldCharType="end"/>
      </w:r>
      <w:r>
        <w:rPr>
          <w:rFonts w:hint="eastAsia" w:ascii="宋体" w:hAnsi="宋体" w:eastAsia="宋体"/>
          <w:bCs/>
          <w:szCs w:val="28"/>
          <w:lang w:val="zh-CN"/>
        </w:rPr>
        <w:fldChar w:fldCharType="end"/>
      </w:r>
    </w:p>
    <w:p w14:paraId="6822B9AA">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_Toc3027 </w:instrText>
      </w:r>
      <w:r>
        <w:rPr>
          <w:rFonts w:hint="eastAsia" w:ascii="宋体" w:hAnsi="宋体" w:eastAsia="宋体"/>
          <w:bCs/>
          <w:szCs w:val="28"/>
          <w:lang w:val="zh-CN"/>
        </w:rPr>
        <w:fldChar w:fldCharType="separate"/>
      </w:r>
      <w:r>
        <w:rPr>
          <w:rFonts w:hint="eastAsia"/>
        </w:rPr>
        <w:t>（七）有利于分配制度优化和作业效率提升</w:t>
      </w:r>
      <w:r>
        <w:tab/>
      </w:r>
      <w:r>
        <w:fldChar w:fldCharType="begin"/>
      </w:r>
      <w:r>
        <w:instrText xml:space="preserve"> PAGEREF _Toc3027 \h </w:instrText>
      </w:r>
      <w:r>
        <w:fldChar w:fldCharType="separate"/>
      </w:r>
      <w:r>
        <w:t>11</w:t>
      </w:r>
      <w:r>
        <w:fldChar w:fldCharType="end"/>
      </w:r>
      <w:r>
        <w:rPr>
          <w:rFonts w:hint="eastAsia" w:ascii="宋体" w:hAnsi="宋体" w:eastAsia="宋体"/>
          <w:bCs/>
          <w:szCs w:val="28"/>
          <w:lang w:val="zh-CN"/>
        </w:rPr>
        <w:fldChar w:fldCharType="end"/>
      </w:r>
    </w:p>
    <w:p w14:paraId="207B8EE0">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_Toc4741 </w:instrText>
      </w:r>
      <w:r>
        <w:rPr>
          <w:rFonts w:hint="eastAsia" w:ascii="宋体" w:hAnsi="宋体" w:eastAsia="宋体"/>
          <w:bCs/>
          <w:szCs w:val="28"/>
          <w:lang w:val="zh-CN"/>
        </w:rPr>
        <w:fldChar w:fldCharType="separate"/>
      </w:r>
      <w:r>
        <w:rPr>
          <w:rFonts w:hint="eastAsia"/>
        </w:rPr>
        <w:t>（八）有利于吸引社会资本投入，助力城市建设发展</w:t>
      </w:r>
      <w:r>
        <w:tab/>
      </w:r>
      <w:r>
        <w:fldChar w:fldCharType="begin"/>
      </w:r>
      <w:r>
        <w:instrText xml:space="preserve"> PAGEREF _Toc4741 \h </w:instrText>
      </w:r>
      <w:r>
        <w:fldChar w:fldCharType="separate"/>
      </w:r>
      <w:r>
        <w:t>11</w:t>
      </w:r>
      <w:r>
        <w:fldChar w:fldCharType="end"/>
      </w:r>
      <w:r>
        <w:rPr>
          <w:rFonts w:hint="eastAsia" w:ascii="宋体" w:hAnsi="宋体" w:eastAsia="宋体"/>
          <w:bCs/>
          <w:szCs w:val="28"/>
          <w:lang w:val="zh-CN"/>
        </w:rPr>
        <w:fldChar w:fldCharType="end"/>
      </w:r>
    </w:p>
    <w:p w14:paraId="2D7FE232">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_Toc10959 </w:instrText>
      </w:r>
      <w:r>
        <w:rPr>
          <w:rFonts w:hint="eastAsia" w:ascii="宋体" w:hAnsi="宋体" w:eastAsia="宋体"/>
          <w:bCs/>
          <w:szCs w:val="28"/>
          <w:lang w:val="zh-CN"/>
        </w:rPr>
        <w:fldChar w:fldCharType="separate"/>
      </w:r>
      <w:r>
        <w:rPr>
          <w:rFonts w:hint="eastAsia"/>
        </w:rPr>
        <w:t>（九）推进环卫市场化改革，建立长效管理机制</w:t>
      </w:r>
      <w:r>
        <w:tab/>
      </w:r>
      <w:r>
        <w:fldChar w:fldCharType="begin"/>
      </w:r>
      <w:r>
        <w:instrText xml:space="preserve"> PAGEREF _Toc10959 \h </w:instrText>
      </w:r>
      <w:r>
        <w:fldChar w:fldCharType="separate"/>
      </w:r>
      <w:r>
        <w:t>11</w:t>
      </w:r>
      <w:r>
        <w:fldChar w:fldCharType="end"/>
      </w:r>
      <w:r>
        <w:rPr>
          <w:rFonts w:hint="eastAsia" w:ascii="宋体" w:hAnsi="宋体" w:eastAsia="宋体"/>
          <w:bCs/>
          <w:szCs w:val="28"/>
          <w:lang w:val="zh-CN"/>
        </w:rPr>
        <w:fldChar w:fldCharType="end"/>
      </w:r>
    </w:p>
    <w:p w14:paraId="56614497">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_Toc29120 </w:instrText>
      </w:r>
      <w:r>
        <w:rPr>
          <w:rFonts w:hint="eastAsia" w:ascii="宋体" w:hAnsi="宋体" w:eastAsia="宋体"/>
          <w:bCs/>
          <w:szCs w:val="28"/>
          <w:lang w:val="zh-CN"/>
        </w:rPr>
        <w:fldChar w:fldCharType="separate"/>
      </w:r>
      <w:r>
        <w:rPr>
          <w:rFonts w:hint="eastAsia"/>
        </w:rPr>
        <w:t>（十）有利于社会宣传和群众参与</w:t>
      </w:r>
      <w:r>
        <w:tab/>
      </w:r>
      <w:r>
        <w:fldChar w:fldCharType="begin"/>
      </w:r>
      <w:r>
        <w:instrText xml:space="preserve"> PAGEREF _Toc29120 \h </w:instrText>
      </w:r>
      <w:r>
        <w:fldChar w:fldCharType="separate"/>
      </w:r>
      <w:r>
        <w:t>11</w:t>
      </w:r>
      <w:r>
        <w:fldChar w:fldCharType="end"/>
      </w:r>
      <w:r>
        <w:rPr>
          <w:rFonts w:hint="eastAsia" w:ascii="宋体" w:hAnsi="宋体" w:eastAsia="宋体"/>
          <w:bCs/>
          <w:szCs w:val="28"/>
          <w:lang w:val="zh-CN"/>
        </w:rPr>
        <w:fldChar w:fldCharType="end"/>
      </w:r>
    </w:p>
    <w:p w14:paraId="5622003A">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_Toc28336 </w:instrText>
      </w:r>
      <w:r>
        <w:rPr>
          <w:rFonts w:hint="eastAsia" w:ascii="宋体" w:hAnsi="宋体" w:eastAsia="宋体"/>
          <w:bCs/>
          <w:szCs w:val="28"/>
          <w:lang w:val="zh-CN"/>
        </w:rPr>
        <w:fldChar w:fldCharType="separate"/>
      </w:r>
      <w:r>
        <w:rPr>
          <w:rFonts w:hint="eastAsia"/>
        </w:rPr>
        <w:t>六、市场化模式分析</w:t>
      </w:r>
      <w:r>
        <w:tab/>
      </w:r>
      <w:r>
        <w:fldChar w:fldCharType="begin"/>
      </w:r>
      <w:r>
        <w:instrText xml:space="preserve"> PAGEREF _Toc28336 \h </w:instrText>
      </w:r>
      <w:r>
        <w:fldChar w:fldCharType="separate"/>
      </w:r>
      <w:r>
        <w:t>12</w:t>
      </w:r>
      <w:r>
        <w:fldChar w:fldCharType="end"/>
      </w:r>
      <w:r>
        <w:rPr>
          <w:rFonts w:hint="eastAsia" w:ascii="宋体" w:hAnsi="宋体" w:eastAsia="宋体"/>
          <w:bCs/>
          <w:szCs w:val="28"/>
          <w:lang w:val="zh-CN"/>
        </w:rPr>
        <w:fldChar w:fldCharType="end"/>
      </w:r>
    </w:p>
    <w:p w14:paraId="290C598C">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_Toc16132 </w:instrText>
      </w:r>
      <w:r>
        <w:rPr>
          <w:rFonts w:hint="eastAsia" w:ascii="宋体" w:hAnsi="宋体" w:eastAsia="宋体"/>
          <w:bCs/>
          <w:szCs w:val="28"/>
          <w:lang w:val="zh-CN"/>
        </w:rPr>
        <w:fldChar w:fldCharType="separate"/>
      </w:r>
      <w:r>
        <w:rPr>
          <w:rFonts w:hint="eastAsia"/>
        </w:rPr>
        <w:t>（一）两种模式的概念界定与适用范围</w:t>
      </w:r>
      <w:r>
        <w:tab/>
      </w:r>
      <w:r>
        <w:fldChar w:fldCharType="begin"/>
      </w:r>
      <w:r>
        <w:instrText xml:space="preserve"> PAGEREF _Toc16132 \h </w:instrText>
      </w:r>
      <w:r>
        <w:fldChar w:fldCharType="separate"/>
      </w:r>
      <w:r>
        <w:t>12</w:t>
      </w:r>
      <w:r>
        <w:fldChar w:fldCharType="end"/>
      </w:r>
      <w:r>
        <w:rPr>
          <w:rFonts w:hint="eastAsia" w:ascii="宋体" w:hAnsi="宋体" w:eastAsia="宋体"/>
          <w:bCs/>
          <w:szCs w:val="28"/>
          <w:lang w:val="zh-CN"/>
        </w:rPr>
        <w:fldChar w:fldCharType="end"/>
      </w:r>
    </w:p>
    <w:p w14:paraId="6F5610D7">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_Toc848 </w:instrText>
      </w:r>
      <w:r>
        <w:rPr>
          <w:rFonts w:hint="eastAsia" w:ascii="宋体" w:hAnsi="宋体" w:eastAsia="宋体"/>
          <w:bCs/>
          <w:szCs w:val="28"/>
          <w:lang w:val="zh-CN"/>
        </w:rPr>
        <w:fldChar w:fldCharType="separate"/>
      </w:r>
      <w:r>
        <w:rPr>
          <w:rFonts w:hint="eastAsia"/>
        </w:rPr>
        <w:t>1</w:t>
      </w:r>
      <w:r>
        <w:t>、政府购买服务模式</w:t>
      </w:r>
      <w:r>
        <w:tab/>
      </w:r>
      <w:r>
        <w:fldChar w:fldCharType="begin"/>
      </w:r>
      <w:r>
        <w:instrText xml:space="preserve"> PAGEREF _Toc848 \h </w:instrText>
      </w:r>
      <w:r>
        <w:fldChar w:fldCharType="separate"/>
      </w:r>
      <w:r>
        <w:t>12</w:t>
      </w:r>
      <w:r>
        <w:fldChar w:fldCharType="end"/>
      </w:r>
      <w:r>
        <w:rPr>
          <w:rFonts w:hint="eastAsia" w:ascii="宋体" w:hAnsi="宋体" w:eastAsia="宋体"/>
          <w:bCs/>
          <w:szCs w:val="28"/>
          <w:lang w:val="zh-CN"/>
        </w:rPr>
        <w:fldChar w:fldCharType="end"/>
      </w:r>
    </w:p>
    <w:p w14:paraId="6F28DEC8">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_Toc13959 </w:instrText>
      </w:r>
      <w:r>
        <w:rPr>
          <w:rFonts w:hint="eastAsia" w:ascii="宋体" w:hAnsi="宋体" w:eastAsia="宋体"/>
          <w:bCs/>
          <w:szCs w:val="28"/>
          <w:lang w:val="zh-CN"/>
        </w:rPr>
        <w:fldChar w:fldCharType="separate"/>
      </w:r>
      <w:r>
        <w:rPr>
          <w:rFonts w:hint="eastAsia"/>
          <w:lang w:val="en-US" w:eastAsia="zh-CN"/>
        </w:rPr>
        <w:t>2、特许经营模式</w:t>
      </w:r>
      <w:r>
        <w:tab/>
      </w:r>
      <w:r>
        <w:fldChar w:fldCharType="begin"/>
      </w:r>
      <w:r>
        <w:instrText xml:space="preserve"> PAGEREF _Toc13959 \h </w:instrText>
      </w:r>
      <w:r>
        <w:fldChar w:fldCharType="separate"/>
      </w:r>
      <w:r>
        <w:t>12</w:t>
      </w:r>
      <w:r>
        <w:fldChar w:fldCharType="end"/>
      </w:r>
      <w:r>
        <w:rPr>
          <w:rFonts w:hint="eastAsia" w:ascii="宋体" w:hAnsi="宋体" w:eastAsia="宋体"/>
          <w:bCs/>
          <w:szCs w:val="28"/>
          <w:lang w:val="zh-CN"/>
        </w:rPr>
        <w:fldChar w:fldCharType="end"/>
      </w:r>
    </w:p>
    <w:p w14:paraId="165E0CD3">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_Toc31939 </w:instrText>
      </w:r>
      <w:r>
        <w:rPr>
          <w:rFonts w:hint="eastAsia" w:ascii="宋体" w:hAnsi="宋体" w:eastAsia="宋体"/>
          <w:bCs/>
          <w:szCs w:val="28"/>
          <w:lang w:val="zh-CN"/>
        </w:rPr>
        <w:fldChar w:fldCharType="separate"/>
      </w:r>
      <w:r>
        <w:t>（</w:t>
      </w:r>
      <w:r>
        <w:rPr>
          <w:rFonts w:hint="eastAsia"/>
        </w:rPr>
        <w:t>二</w:t>
      </w:r>
      <w:r>
        <w:t>）模式对比分析</w:t>
      </w:r>
      <w:r>
        <w:tab/>
      </w:r>
      <w:r>
        <w:fldChar w:fldCharType="begin"/>
      </w:r>
      <w:r>
        <w:instrText xml:space="preserve"> PAGEREF _Toc31939 \h </w:instrText>
      </w:r>
      <w:r>
        <w:fldChar w:fldCharType="separate"/>
      </w:r>
      <w:r>
        <w:t>13</w:t>
      </w:r>
      <w:r>
        <w:fldChar w:fldCharType="end"/>
      </w:r>
      <w:r>
        <w:rPr>
          <w:rFonts w:hint="eastAsia" w:ascii="宋体" w:hAnsi="宋体" w:eastAsia="宋体"/>
          <w:bCs/>
          <w:szCs w:val="28"/>
          <w:lang w:val="zh-CN"/>
        </w:rPr>
        <w:fldChar w:fldCharType="end"/>
      </w:r>
    </w:p>
    <w:p w14:paraId="3CAD95CE">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_Toc10715 </w:instrText>
      </w:r>
      <w:r>
        <w:rPr>
          <w:rFonts w:hint="eastAsia" w:ascii="宋体" w:hAnsi="宋体" w:eastAsia="宋体"/>
          <w:bCs/>
          <w:szCs w:val="28"/>
          <w:lang w:val="zh-CN"/>
        </w:rPr>
        <w:fldChar w:fldCharType="separate"/>
      </w:r>
      <w:r>
        <w:rPr>
          <w:rFonts w:hint="eastAsia"/>
        </w:rPr>
        <w:t>1</w:t>
      </w:r>
      <w:r>
        <w:t>、财政管理机制对比</w:t>
      </w:r>
      <w:r>
        <w:tab/>
      </w:r>
      <w:r>
        <w:fldChar w:fldCharType="begin"/>
      </w:r>
      <w:r>
        <w:instrText xml:space="preserve"> PAGEREF _Toc10715 \h </w:instrText>
      </w:r>
      <w:r>
        <w:fldChar w:fldCharType="separate"/>
      </w:r>
      <w:r>
        <w:t>13</w:t>
      </w:r>
      <w:r>
        <w:fldChar w:fldCharType="end"/>
      </w:r>
      <w:r>
        <w:rPr>
          <w:rFonts w:hint="eastAsia" w:ascii="宋体" w:hAnsi="宋体" w:eastAsia="宋体"/>
          <w:bCs/>
          <w:szCs w:val="28"/>
          <w:lang w:val="zh-CN"/>
        </w:rPr>
        <w:fldChar w:fldCharType="end"/>
      </w:r>
    </w:p>
    <w:p w14:paraId="39023F09">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_Toc1245 </w:instrText>
      </w:r>
      <w:r>
        <w:rPr>
          <w:rFonts w:hint="eastAsia" w:ascii="宋体" w:hAnsi="宋体" w:eastAsia="宋体"/>
          <w:bCs/>
          <w:szCs w:val="28"/>
          <w:lang w:val="zh-CN"/>
        </w:rPr>
        <w:fldChar w:fldCharType="separate"/>
      </w:r>
      <w:r>
        <w:rPr>
          <w:rFonts w:hint="eastAsia"/>
        </w:rPr>
        <w:t>2</w:t>
      </w:r>
      <w:r>
        <w:t>、合规性与政策风险对比</w:t>
      </w:r>
      <w:r>
        <w:tab/>
      </w:r>
      <w:r>
        <w:fldChar w:fldCharType="begin"/>
      </w:r>
      <w:r>
        <w:instrText xml:space="preserve"> PAGEREF _Toc1245 \h </w:instrText>
      </w:r>
      <w:r>
        <w:fldChar w:fldCharType="separate"/>
      </w:r>
      <w:r>
        <w:t>13</w:t>
      </w:r>
      <w:r>
        <w:fldChar w:fldCharType="end"/>
      </w:r>
      <w:r>
        <w:rPr>
          <w:rFonts w:hint="eastAsia" w:ascii="宋体" w:hAnsi="宋体" w:eastAsia="宋体"/>
          <w:bCs/>
          <w:szCs w:val="28"/>
          <w:lang w:val="zh-CN"/>
        </w:rPr>
        <w:fldChar w:fldCharType="end"/>
      </w:r>
    </w:p>
    <w:p w14:paraId="6D4F7DEA">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_Toc26599 </w:instrText>
      </w:r>
      <w:r>
        <w:rPr>
          <w:rFonts w:hint="eastAsia" w:ascii="宋体" w:hAnsi="宋体" w:eastAsia="宋体"/>
          <w:bCs/>
          <w:szCs w:val="28"/>
          <w:lang w:val="zh-CN"/>
        </w:rPr>
        <w:fldChar w:fldCharType="separate"/>
      </w:r>
      <w:r>
        <w:rPr>
          <w:rFonts w:hint="eastAsia"/>
        </w:rPr>
        <w:t>3、</w:t>
      </w:r>
      <w:r>
        <w:t>服务灵活性与合同期限对比</w:t>
      </w:r>
      <w:r>
        <w:tab/>
      </w:r>
      <w:r>
        <w:fldChar w:fldCharType="begin"/>
      </w:r>
      <w:r>
        <w:instrText xml:space="preserve"> PAGEREF _Toc26599 \h </w:instrText>
      </w:r>
      <w:r>
        <w:fldChar w:fldCharType="separate"/>
      </w:r>
      <w:r>
        <w:t>14</w:t>
      </w:r>
      <w:r>
        <w:fldChar w:fldCharType="end"/>
      </w:r>
      <w:r>
        <w:rPr>
          <w:rFonts w:hint="eastAsia" w:ascii="宋体" w:hAnsi="宋体" w:eastAsia="宋体"/>
          <w:bCs/>
          <w:szCs w:val="28"/>
          <w:lang w:val="zh-CN"/>
        </w:rPr>
        <w:fldChar w:fldCharType="end"/>
      </w:r>
    </w:p>
    <w:p w14:paraId="63654E71">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_Toc20933 </w:instrText>
      </w:r>
      <w:r>
        <w:rPr>
          <w:rFonts w:hint="eastAsia" w:ascii="宋体" w:hAnsi="宋体" w:eastAsia="宋体"/>
          <w:bCs/>
          <w:szCs w:val="28"/>
          <w:lang w:val="zh-CN"/>
        </w:rPr>
        <w:fldChar w:fldCharType="separate"/>
      </w:r>
      <w:r>
        <w:rPr>
          <w:rFonts w:hint="eastAsia"/>
        </w:rPr>
        <w:t>4、</w:t>
      </w:r>
      <w:r>
        <w:t>实践经验与成效对比</w:t>
      </w:r>
      <w:r>
        <w:tab/>
      </w:r>
      <w:r>
        <w:fldChar w:fldCharType="begin"/>
      </w:r>
      <w:r>
        <w:instrText xml:space="preserve"> PAGEREF _Toc20933 \h </w:instrText>
      </w:r>
      <w:r>
        <w:fldChar w:fldCharType="separate"/>
      </w:r>
      <w:r>
        <w:t>14</w:t>
      </w:r>
      <w:r>
        <w:fldChar w:fldCharType="end"/>
      </w:r>
      <w:r>
        <w:rPr>
          <w:rFonts w:hint="eastAsia" w:ascii="宋体" w:hAnsi="宋体" w:eastAsia="宋体"/>
          <w:bCs/>
          <w:szCs w:val="28"/>
          <w:lang w:val="zh-CN"/>
        </w:rPr>
        <w:fldChar w:fldCharType="end"/>
      </w:r>
    </w:p>
    <w:p w14:paraId="15F837E7">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_Toc19886 </w:instrText>
      </w:r>
      <w:r>
        <w:rPr>
          <w:rFonts w:hint="eastAsia" w:ascii="宋体" w:hAnsi="宋体" w:eastAsia="宋体"/>
          <w:bCs/>
          <w:szCs w:val="28"/>
          <w:lang w:val="zh-CN"/>
        </w:rPr>
        <w:fldChar w:fldCharType="separate"/>
      </w:r>
      <w:r>
        <w:rPr>
          <w:rFonts w:hint="eastAsia"/>
        </w:rPr>
        <w:t>4、</w:t>
      </w:r>
      <w:r>
        <w:t>两种模式的总体对比表</w:t>
      </w:r>
      <w:r>
        <w:tab/>
      </w:r>
      <w:r>
        <w:fldChar w:fldCharType="begin"/>
      </w:r>
      <w:r>
        <w:instrText xml:space="preserve"> PAGEREF _Toc19886 \h </w:instrText>
      </w:r>
      <w:r>
        <w:fldChar w:fldCharType="separate"/>
      </w:r>
      <w:r>
        <w:t>15</w:t>
      </w:r>
      <w:r>
        <w:fldChar w:fldCharType="end"/>
      </w:r>
      <w:r>
        <w:rPr>
          <w:rFonts w:hint="eastAsia" w:ascii="宋体" w:hAnsi="宋体" w:eastAsia="宋体"/>
          <w:bCs/>
          <w:szCs w:val="28"/>
          <w:lang w:val="zh-CN"/>
        </w:rPr>
        <w:fldChar w:fldCharType="end"/>
      </w:r>
    </w:p>
    <w:p w14:paraId="170AC0C3">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_Toc5659 </w:instrText>
      </w:r>
      <w:r>
        <w:rPr>
          <w:rFonts w:hint="eastAsia" w:ascii="宋体" w:hAnsi="宋体" w:eastAsia="宋体"/>
          <w:bCs/>
          <w:szCs w:val="28"/>
          <w:lang w:val="zh-CN"/>
        </w:rPr>
        <w:fldChar w:fldCharType="separate"/>
      </w:r>
      <w:r>
        <w:rPr>
          <w:rFonts w:hint="eastAsia"/>
        </w:rPr>
        <w:t>七、项目实施预算及资金保障</w:t>
      </w:r>
      <w:r>
        <w:tab/>
      </w:r>
      <w:r>
        <w:fldChar w:fldCharType="begin"/>
      </w:r>
      <w:r>
        <w:instrText xml:space="preserve"> PAGEREF _Toc5659 \h </w:instrText>
      </w:r>
      <w:r>
        <w:fldChar w:fldCharType="separate"/>
      </w:r>
      <w:r>
        <w:t>17</w:t>
      </w:r>
      <w:r>
        <w:fldChar w:fldCharType="end"/>
      </w:r>
      <w:r>
        <w:rPr>
          <w:rFonts w:hint="eastAsia" w:ascii="宋体" w:hAnsi="宋体" w:eastAsia="宋体"/>
          <w:bCs/>
          <w:szCs w:val="28"/>
          <w:lang w:val="zh-CN"/>
        </w:rPr>
        <w:fldChar w:fldCharType="end"/>
      </w:r>
    </w:p>
    <w:p w14:paraId="3808E5C3">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_Toc3657 </w:instrText>
      </w:r>
      <w:r>
        <w:rPr>
          <w:rFonts w:hint="eastAsia" w:ascii="宋体" w:hAnsi="宋体" w:eastAsia="宋体"/>
          <w:bCs/>
          <w:szCs w:val="28"/>
          <w:lang w:val="zh-CN"/>
        </w:rPr>
        <w:fldChar w:fldCharType="separate"/>
      </w:r>
      <w:r>
        <w:rPr>
          <w:rFonts w:hint="eastAsia"/>
        </w:rPr>
        <w:t>八、费用支付</w:t>
      </w:r>
      <w:r>
        <w:tab/>
      </w:r>
      <w:r>
        <w:fldChar w:fldCharType="begin"/>
      </w:r>
      <w:r>
        <w:instrText xml:space="preserve"> PAGEREF _Toc3657 \h </w:instrText>
      </w:r>
      <w:r>
        <w:fldChar w:fldCharType="separate"/>
      </w:r>
      <w:r>
        <w:t>18</w:t>
      </w:r>
      <w:r>
        <w:fldChar w:fldCharType="end"/>
      </w:r>
      <w:r>
        <w:rPr>
          <w:rFonts w:hint="eastAsia" w:ascii="宋体" w:hAnsi="宋体" w:eastAsia="宋体"/>
          <w:bCs/>
          <w:szCs w:val="28"/>
          <w:lang w:val="zh-CN"/>
        </w:rPr>
        <w:fldChar w:fldCharType="end"/>
      </w:r>
    </w:p>
    <w:p w14:paraId="13EEECE4">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_Toc24463 </w:instrText>
      </w:r>
      <w:r>
        <w:rPr>
          <w:rFonts w:hint="eastAsia" w:ascii="宋体" w:hAnsi="宋体" w:eastAsia="宋体"/>
          <w:bCs/>
          <w:szCs w:val="28"/>
          <w:lang w:val="zh-CN"/>
        </w:rPr>
        <w:fldChar w:fldCharType="separate"/>
      </w:r>
      <w:r>
        <w:rPr>
          <w:rFonts w:hint="eastAsia"/>
          <w:lang w:val="en-US" w:eastAsia="zh-CN"/>
        </w:rPr>
        <w:t>九、招标文件编制及评审原则</w:t>
      </w:r>
      <w:r>
        <w:tab/>
      </w:r>
      <w:r>
        <w:fldChar w:fldCharType="begin"/>
      </w:r>
      <w:r>
        <w:instrText xml:space="preserve"> PAGEREF _Toc24463 \h </w:instrText>
      </w:r>
      <w:r>
        <w:fldChar w:fldCharType="separate"/>
      </w:r>
      <w:r>
        <w:t>18</w:t>
      </w:r>
      <w:r>
        <w:fldChar w:fldCharType="end"/>
      </w:r>
      <w:r>
        <w:rPr>
          <w:rFonts w:hint="eastAsia" w:ascii="宋体" w:hAnsi="宋体" w:eastAsia="宋体"/>
          <w:bCs/>
          <w:szCs w:val="28"/>
          <w:lang w:val="zh-CN"/>
        </w:rPr>
        <w:fldChar w:fldCharType="end"/>
      </w:r>
    </w:p>
    <w:p w14:paraId="7ACBEB60">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_Toc29633 </w:instrText>
      </w:r>
      <w:r>
        <w:rPr>
          <w:rFonts w:hint="eastAsia" w:ascii="宋体" w:hAnsi="宋体" w:eastAsia="宋体"/>
          <w:bCs/>
          <w:szCs w:val="28"/>
          <w:lang w:val="zh-CN"/>
        </w:rPr>
        <w:fldChar w:fldCharType="separate"/>
      </w:r>
      <w:r>
        <w:rPr>
          <w:rFonts w:hint="eastAsia"/>
          <w:lang w:val="en-US" w:eastAsia="zh-CN"/>
        </w:rPr>
        <w:t>十</w:t>
      </w:r>
      <w:r>
        <w:rPr>
          <w:rFonts w:hint="eastAsia"/>
        </w:rPr>
        <w:t>、作业标准及质量要求</w:t>
      </w:r>
      <w:r>
        <w:tab/>
      </w:r>
      <w:r>
        <w:fldChar w:fldCharType="begin"/>
      </w:r>
      <w:r>
        <w:instrText xml:space="preserve"> PAGEREF _Toc29633 \h </w:instrText>
      </w:r>
      <w:r>
        <w:fldChar w:fldCharType="separate"/>
      </w:r>
      <w:r>
        <w:t>18</w:t>
      </w:r>
      <w:r>
        <w:fldChar w:fldCharType="end"/>
      </w:r>
      <w:r>
        <w:rPr>
          <w:rFonts w:hint="eastAsia" w:ascii="宋体" w:hAnsi="宋体" w:eastAsia="宋体"/>
          <w:bCs/>
          <w:szCs w:val="28"/>
          <w:lang w:val="zh-CN"/>
        </w:rPr>
        <w:fldChar w:fldCharType="end"/>
      </w:r>
    </w:p>
    <w:p w14:paraId="1B77C3EB">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_Toc16078 </w:instrText>
      </w:r>
      <w:r>
        <w:rPr>
          <w:rFonts w:hint="eastAsia" w:ascii="宋体" w:hAnsi="宋体" w:eastAsia="宋体"/>
          <w:bCs/>
          <w:szCs w:val="28"/>
          <w:lang w:val="zh-CN"/>
        </w:rPr>
        <w:fldChar w:fldCharType="separate"/>
      </w:r>
      <w:r>
        <w:rPr>
          <w:rFonts w:hint="eastAsia"/>
        </w:rPr>
        <w:t>（一）</w:t>
      </w:r>
      <w:r>
        <w:t>道路清扫保洁作业质量标准与作业要求</w:t>
      </w:r>
      <w:r>
        <w:tab/>
      </w:r>
      <w:r>
        <w:fldChar w:fldCharType="begin"/>
      </w:r>
      <w:r>
        <w:instrText xml:space="preserve"> PAGEREF _Toc16078 \h </w:instrText>
      </w:r>
      <w:r>
        <w:fldChar w:fldCharType="separate"/>
      </w:r>
      <w:r>
        <w:t>18</w:t>
      </w:r>
      <w:r>
        <w:fldChar w:fldCharType="end"/>
      </w:r>
      <w:r>
        <w:rPr>
          <w:rFonts w:hint="eastAsia" w:ascii="宋体" w:hAnsi="宋体" w:eastAsia="宋体"/>
          <w:bCs/>
          <w:szCs w:val="28"/>
          <w:lang w:val="zh-CN"/>
        </w:rPr>
        <w:fldChar w:fldCharType="end"/>
      </w:r>
    </w:p>
    <w:p w14:paraId="4A559EAA">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_Toc10157 </w:instrText>
      </w:r>
      <w:r>
        <w:rPr>
          <w:rFonts w:hint="eastAsia" w:ascii="宋体" w:hAnsi="宋体" w:eastAsia="宋体"/>
          <w:bCs/>
          <w:szCs w:val="28"/>
          <w:lang w:val="zh-CN"/>
        </w:rPr>
        <w:fldChar w:fldCharType="separate"/>
      </w:r>
      <w:r>
        <w:rPr>
          <w:rFonts w:hint="eastAsia"/>
        </w:rPr>
        <w:t>（二）生活垃圾清运</w:t>
      </w:r>
      <w:r>
        <w:t>作业质量标准与作业要求</w:t>
      </w:r>
      <w:r>
        <w:tab/>
      </w:r>
      <w:r>
        <w:fldChar w:fldCharType="begin"/>
      </w:r>
      <w:r>
        <w:instrText xml:space="preserve"> PAGEREF _Toc10157 \h </w:instrText>
      </w:r>
      <w:r>
        <w:fldChar w:fldCharType="separate"/>
      </w:r>
      <w:r>
        <w:t>20</w:t>
      </w:r>
      <w:r>
        <w:fldChar w:fldCharType="end"/>
      </w:r>
      <w:r>
        <w:rPr>
          <w:rFonts w:hint="eastAsia" w:ascii="宋体" w:hAnsi="宋体" w:eastAsia="宋体"/>
          <w:bCs/>
          <w:szCs w:val="28"/>
          <w:lang w:val="zh-CN"/>
        </w:rPr>
        <w:fldChar w:fldCharType="end"/>
      </w:r>
    </w:p>
    <w:p w14:paraId="0330EBC7">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_Toc11311 </w:instrText>
      </w:r>
      <w:r>
        <w:rPr>
          <w:rFonts w:hint="eastAsia" w:ascii="宋体" w:hAnsi="宋体" w:eastAsia="宋体"/>
          <w:bCs/>
          <w:szCs w:val="28"/>
          <w:lang w:val="zh-CN"/>
        </w:rPr>
        <w:fldChar w:fldCharType="separate"/>
      </w:r>
      <w:r>
        <w:rPr>
          <w:rFonts w:hint="eastAsia"/>
        </w:rPr>
        <w:t>（三）冬季除雪质量标准与作业要求</w:t>
      </w:r>
      <w:r>
        <w:tab/>
      </w:r>
      <w:r>
        <w:fldChar w:fldCharType="begin"/>
      </w:r>
      <w:r>
        <w:instrText xml:space="preserve"> PAGEREF _Toc11311 \h </w:instrText>
      </w:r>
      <w:r>
        <w:fldChar w:fldCharType="separate"/>
      </w:r>
      <w:r>
        <w:t>21</w:t>
      </w:r>
      <w:r>
        <w:fldChar w:fldCharType="end"/>
      </w:r>
      <w:r>
        <w:rPr>
          <w:rFonts w:hint="eastAsia" w:ascii="宋体" w:hAnsi="宋体" w:eastAsia="宋体"/>
          <w:bCs/>
          <w:szCs w:val="28"/>
          <w:lang w:val="zh-CN"/>
        </w:rPr>
        <w:fldChar w:fldCharType="end"/>
      </w:r>
    </w:p>
    <w:p w14:paraId="311525ED">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_Toc18875 </w:instrText>
      </w:r>
      <w:r>
        <w:rPr>
          <w:rFonts w:hint="eastAsia" w:ascii="宋体" w:hAnsi="宋体" w:eastAsia="宋体"/>
          <w:bCs/>
          <w:szCs w:val="28"/>
          <w:lang w:val="zh-CN"/>
        </w:rPr>
        <w:fldChar w:fldCharType="separate"/>
      </w:r>
      <w:r>
        <w:rPr>
          <w:rFonts w:hint="eastAsia"/>
        </w:rPr>
        <w:t>（四）绿化养护质量标准与作业要求</w:t>
      </w:r>
      <w:r>
        <w:tab/>
      </w:r>
      <w:r>
        <w:fldChar w:fldCharType="begin"/>
      </w:r>
      <w:r>
        <w:instrText xml:space="preserve"> PAGEREF _Toc18875 \h </w:instrText>
      </w:r>
      <w:r>
        <w:fldChar w:fldCharType="separate"/>
      </w:r>
      <w:r>
        <w:t>23</w:t>
      </w:r>
      <w:r>
        <w:fldChar w:fldCharType="end"/>
      </w:r>
      <w:r>
        <w:rPr>
          <w:rFonts w:hint="eastAsia" w:ascii="宋体" w:hAnsi="宋体" w:eastAsia="宋体"/>
          <w:bCs/>
          <w:szCs w:val="28"/>
          <w:lang w:val="zh-CN"/>
        </w:rPr>
        <w:fldChar w:fldCharType="end"/>
      </w:r>
    </w:p>
    <w:p w14:paraId="2D29CDDA">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_Toc30352 </w:instrText>
      </w:r>
      <w:r>
        <w:rPr>
          <w:rFonts w:hint="eastAsia" w:ascii="宋体" w:hAnsi="宋体" w:eastAsia="宋体"/>
          <w:bCs/>
          <w:szCs w:val="28"/>
          <w:lang w:val="zh-CN"/>
        </w:rPr>
        <w:fldChar w:fldCharType="separate"/>
      </w:r>
      <w:r>
        <w:rPr>
          <w:rFonts w:hint="eastAsia"/>
          <w:snapToGrid w:val="0"/>
        </w:rPr>
        <w:t>（五）公园作业服务</w:t>
      </w:r>
      <w:r>
        <w:rPr>
          <w:rFonts w:hint="eastAsia"/>
        </w:rPr>
        <w:t>质量标准与作业要求</w:t>
      </w:r>
      <w:r>
        <w:tab/>
      </w:r>
      <w:r>
        <w:fldChar w:fldCharType="begin"/>
      </w:r>
      <w:r>
        <w:instrText xml:space="preserve"> PAGEREF _Toc30352 \h </w:instrText>
      </w:r>
      <w:r>
        <w:fldChar w:fldCharType="separate"/>
      </w:r>
      <w:r>
        <w:t>26</w:t>
      </w:r>
      <w:r>
        <w:fldChar w:fldCharType="end"/>
      </w:r>
      <w:r>
        <w:rPr>
          <w:rFonts w:hint="eastAsia" w:ascii="宋体" w:hAnsi="宋体" w:eastAsia="宋体"/>
          <w:bCs/>
          <w:szCs w:val="28"/>
          <w:lang w:val="zh-CN"/>
        </w:rPr>
        <w:fldChar w:fldCharType="end"/>
      </w:r>
    </w:p>
    <w:p w14:paraId="517F4AAB">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_Toc2961 </w:instrText>
      </w:r>
      <w:r>
        <w:rPr>
          <w:rFonts w:hint="eastAsia" w:ascii="宋体" w:hAnsi="宋体" w:eastAsia="宋体"/>
          <w:bCs/>
          <w:szCs w:val="28"/>
          <w:lang w:val="zh-CN"/>
        </w:rPr>
        <w:fldChar w:fldCharType="separate"/>
      </w:r>
      <w:r>
        <w:rPr>
          <w:rFonts w:hint="eastAsia"/>
          <w:snapToGrid w:val="0"/>
        </w:rPr>
        <w:t>（六）路灯管理质量标准与作业要求</w:t>
      </w:r>
      <w:r>
        <w:tab/>
      </w:r>
      <w:r>
        <w:fldChar w:fldCharType="begin"/>
      </w:r>
      <w:r>
        <w:instrText xml:space="preserve"> PAGEREF _Toc2961 \h </w:instrText>
      </w:r>
      <w:r>
        <w:fldChar w:fldCharType="separate"/>
      </w:r>
      <w:r>
        <w:t>27</w:t>
      </w:r>
      <w:r>
        <w:fldChar w:fldCharType="end"/>
      </w:r>
      <w:r>
        <w:rPr>
          <w:rFonts w:hint="eastAsia" w:ascii="宋体" w:hAnsi="宋体" w:eastAsia="宋体"/>
          <w:bCs/>
          <w:szCs w:val="28"/>
          <w:lang w:val="zh-CN"/>
        </w:rPr>
        <w:fldChar w:fldCharType="end"/>
      </w:r>
    </w:p>
    <w:p w14:paraId="487591A5">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_Toc13883 </w:instrText>
      </w:r>
      <w:r>
        <w:rPr>
          <w:rFonts w:hint="eastAsia" w:ascii="宋体" w:hAnsi="宋体" w:eastAsia="宋体"/>
          <w:bCs/>
          <w:szCs w:val="28"/>
          <w:lang w:val="zh-CN"/>
        </w:rPr>
        <w:fldChar w:fldCharType="separate"/>
      </w:r>
      <w:r>
        <w:rPr>
          <w:rFonts w:hint="eastAsia"/>
          <w:snapToGrid w:val="0"/>
        </w:rPr>
        <w:t>（七）市政设施维修维护质量标准与作业要求</w:t>
      </w:r>
      <w:r>
        <w:tab/>
      </w:r>
      <w:r>
        <w:fldChar w:fldCharType="begin"/>
      </w:r>
      <w:r>
        <w:instrText xml:space="preserve"> PAGEREF _Toc13883 \h </w:instrText>
      </w:r>
      <w:r>
        <w:fldChar w:fldCharType="separate"/>
      </w:r>
      <w:r>
        <w:t>29</w:t>
      </w:r>
      <w:r>
        <w:fldChar w:fldCharType="end"/>
      </w:r>
      <w:r>
        <w:rPr>
          <w:rFonts w:hint="eastAsia" w:ascii="宋体" w:hAnsi="宋体" w:eastAsia="宋体"/>
          <w:bCs/>
          <w:szCs w:val="28"/>
          <w:lang w:val="zh-CN"/>
        </w:rPr>
        <w:fldChar w:fldCharType="end"/>
      </w:r>
    </w:p>
    <w:p w14:paraId="5887D991">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_Toc1194 </w:instrText>
      </w:r>
      <w:r>
        <w:rPr>
          <w:rFonts w:hint="eastAsia" w:ascii="宋体" w:hAnsi="宋体" w:eastAsia="宋体"/>
          <w:bCs/>
          <w:szCs w:val="28"/>
          <w:lang w:val="zh-CN"/>
        </w:rPr>
        <w:fldChar w:fldCharType="separate"/>
      </w:r>
      <w:r>
        <w:rPr>
          <w:rFonts w:hint="eastAsia"/>
        </w:rPr>
        <w:t>十</w:t>
      </w:r>
      <w:r>
        <w:rPr>
          <w:rFonts w:hint="eastAsia"/>
          <w:lang w:val="en-US" w:eastAsia="zh-CN"/>
        </w:rPr>
        <w:t>一</w:t>
      </w:r>
      <w:r>
        <w:rPr>
          <w:rFonts w:hint="eastAsia"/>
        </w:rPr>
        <w:t>、考核及退出机制</w:t>
      </w:r>
      <w:r>
        <w:tab/>
      </w:r>
      <w:r>
        <w:fldChar w:fldCharType="begin"/>
      </w:r>
      <w:r>
        <w:instrText xml:space="preserve"> PAGEREF _Toc1194 \h </w:instrText>
      </w:r>
      <w:r>
        <w:fldChar w:fldCharType="separate"/>
      </w:r>
      <w:r>
        <w:t>31</w:t>
      </w:r>
      <w:r>
        <w:fldChar w:fldCharType="end"/>
      </w:r>
      <w:r>
        <w:rPr>
          <w:rFonts w:hint="eastAsia" w:ascii="宋体" w:hAnsi="宋体" w:eastAsia="宋体"/>
          <w:bCs/>
          <w:szCs w:val="28"/>
          <w:lang w:val="zh-CN"/>
        </w:rPr>
        <w:fldChar w:fldCharType="end"/>
      </w:r>
    </w:p>
    <w:p w14:paraId="141BE753">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_Toc19401 </w:instrText>
      </w:r>
      <w:r>
        <w:rPr>
          <w:rFonts w:hint="eastAsia" w:ascii="宋体" w:hAnsi="宋体" w:eastAsia="宋体"/>
          <w:bCs/>
          <w:szCs w:val="28"/>
          <w:lang w:val="zh-CN"/>
        </w:rPr>
        <w:fldChar w:fldCharType="separate"/>
      </w:r>
      <w:r>
        <w:rPr>
          <w:rFonts w:hint="eastAsia"/>
        </w:rPr>
        <w:t>（一）考核</w:t>
      </w:r>
      <w:r>
        <w:tab/>
      </w:r>
      <w:r>
        <w:fldChar w:fldCharType="begin"/>
      </w:r>
      <w:r>
        <w:instrText xml:space="preserve"> PAGEREF _Toc19401 \h </w:instrText>
      </w:r>
      <w:r>
        <w:fldChar w:fldCharType="separate"/>
      </w:r>
      <w:r>
        <w:t>31</w:t>
      </w:r>
      <w:r>
        <w:fldChar w:fldCharType="end"/>
      </w:r>
      <w:r>
        <w:rPr>
          <w:rFonts w:hint="eastAsia" w:ascii="宋体" w:hAnsi="宋体" w:eastAsia="宋体"/>
          <w:bCs/>
          <w:szCs w:val="28"/>
          <w:lang w:val="zh-CN"/>
        </w:rPr>
        <w:fldChar w:fldCharType="end"/>
      </w:r>
    </w:p>
    <w:p w14:paraId="733B296C">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_Toc17941 </w:instrText>
      </w:r>
      <w:r>
        <w:rPr>
          <w:rFonts w:hint="eastAsia" w:ascii="宋体" w:hAnsi="宋体" w:eastAsia="宋体"/>
          <w:bCs/>
          <w:szCs w:val="28"/>
          <w:lang w:val="zh-CN"/>
        </w:rPr>
        <w:fldChar w:fldCharType="separate"/>
      </w:r>
      <w:r>
        <w:rPr>
          <w:rFonts w:hint="eastAsia"/>
        </w:rPr>
        <w:t>（二）退出机制</w:t>
      </w:r>
      <w:r>
        <w:tab/>
      </w:r>
      <w:r>
        <w:fldChar w:fldCharType="begin"/>
      </w:r>
      <w:r>
        <w:instrText xml:space="preserve"> PAGEREF _Toc17941 \h </w:instrText>
      </w:r>
      <w:r>
        <w:fldChar w:fldCharType="separate"/>
      </w:r>
      <w:r>
        <w:t>32</w:t>
      </w:r>
      <w:r>
        <w:fldChar w:fldCharType="end"/>
      </w:r>
      <w:r>
        <w:rPr>
          <w:rFonts w:hint="eastAsia" w:ascii="宋体" w:hAnsi="宋体" w:eastAsia="宋体"/>
          <w:bCs/>
          <w:szCs w:val="28"/>
          <w:lang w:val="zh-CN"/>
        </w:rPr>
        <w:fldChar w:fldCharType="end"/>
      </w:r>
    </w:p>
    <w:p w14:paraId="181F2454">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_Toc29541 </w:instrText>
      </w:r>
      <w:r>
        <w:rPr>
          <w:rFonts w:hint="eastAsia" w:ascii="宋体" w:hAnsi="宋体" w:eastAsia="宋体"/>
          <w:bCs/>
          <w:szCs w:val="28"/>
          <w:lang w:val="zh-CN"/>
        </w:rPr>
        <w:fldChar w:fldCharType="separate"/>
      </w:r>
      <w:r>
        <w:rPr>
          <w:rFonts w:hint="eastAsia"/>
        </w:rPr>
        <w:t>十</w:t>
      </w:r>
      <w:r>
        <w:rPr>
          <w:rFonts w:hint="eastAsia"/>
          <w:lang w:val="en-US" w:eastAsia="zh-CN"/>
        </w:rPr>
        <w:t>二</w:t>
      </w:r>
      <w:r>
        <w:rPr>
          <w:rFonts w:hint="eastAsia"/>
        </w:rPr>
        <w:t>、项目实施预计效果</w:t>
      </w:r>
      <w:r>
        <w:tab/>
      </w:r>
      <w:r>
        <w:fldChar w:fldCharType="begin"/>
      </w:r>
      <w:r>
        <w:instrText xml:space="preserve"> PAGEREF _Toc29541 \h </w:instrText>
      </w:r>
      <w:r>
        <w:fldChar w:fldCharType="separate"/>
      </w:r>
      <w:r>
        <w:t>33</w:t>
      </w:r>
      <w:r>
        <w:fldChar w:fldCharType="end"/>
      </w:r>
      <w:r>
        <w:rPr>
          <w:rFonts w:hint="eastAsia" w:ascii="宋体" w:hAnsi="宋体" w:eastAsia="宋体"/>
          <w:bCs/>
          <w:szCs w:val="28"/>
          <w:lang w:val="zh-CN"/>
        </w:rPr>
        <w:fldChar w:fldCharType="end"/>
      </w:r>
    </w:p>
    <w:p w14:paraId="721F8B03">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_Toc13640 </w:instrText>
      </w:r>
      <w:r>
        <w:rPr>
          <w:rFonts w:hint="eastAsia" w:ascii="宋体" w:hAnsi="宋体" w:eastAsia="宋体"/>
          <w:bCs/>
          <w:szCs w:val="28"/>
          <w:lang w:val="zh-CN"/>
        </w:rPr>
        <w:fldChar w:fldCharType="separate"/>
      </w:r>
      <w:r>
        <w:rPr>
          <w:rFonts w:hint="eastAsia"/>
        </w:rPr>
        <w:t>（一）提升服务质量和作业标准</w:t>
      </w:r>
      <w:r>
        <w:tab/>
      </w:r>
      <w:r>
        <w:fldChar w:fldCharType="begin"/>
      </w:r>
      <w:r>
        <w:instrText xml:space="preserve"> PAGEREF _Toc13640 \h </w:instrText>
      </w:r>
      <w:r>
        <w:fldChar w:fldCharType="separate"/>
      </w:r>
      <w:r>
        <w:t>33</w:t>
      </w:r>
      <w:r>
        <w:fldChar w:fldCharType="end"/>
      </w:r>
      <w:r>
        <w:rPr>
          <w:rFonts w:hint="eastAsia" w:ascii="宋体" w:hAnsi="宋体" w:eastAsia="宋体"/>
          <w:bCs/>
          <w:szCs w:val="28"/>
          <w:lang w:val="zh-CN"/>
        </w:rPr>
        <w:fldChar w:fldCharType="end"/>
      </w:r>
    </w:p>
    <w:p w14:paraId="3E84A7F8">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_Toc30427 </w:instrText>
      </w:r>
      <w:r>
        <w:rPr>
          <w:rFonts w:hint="eastAsia" w:ascii="宋体" w:hAnsi="宋体" w:eastAsia="宋体"/>
          <w:bCs/>
          <w:szCs w:val="28"/>
          <w:lang w:val="zh-CN"/>
        </w:rPr>
        <w:fldChar w:fldCharType="separate"/>
      </w:r>
      <w:r>
        <w:rPr>
          <w:rFonts w:hint="eastAsia"/>
        </w:rPr>
        <w:t>（二）完善基础设施设备，加大投资建设</w:t>
      </w:r>
      <w:r>
        <w:tab/>
      </w:r>
      <w:r>
        <w:fldChar w:fldCharType="begin"/>
      </w:r>
      <w:r>
        <w:instrText xml:space="preserve"> PAGEREF _Toc30427 \h </w:instrText>
      </w:r>
      <w:r>
        <w:fldChar w:fldCharType="separate"/>
      </w:r>
      <w:r>
        <w:t>33</w:t>
      </w:r>
      <w:r>
        <w:fldChar w:fldCharType="end"/>
      </w:r>
      <w:r>
        <w:rPr>
          <w:rFonts w:hint="eastAsia" w:ascii="宋体" w:hAnsi="宋体" w:eastAsia="宋体"/>
          <w:bCs/>
          <w:szCs w:val="28"/>
          <w:lang w:val="zh-CN"/>
        </w:rPr>
        <w:fldChar w:fldCharType="end"/>
      </w:r>
    </w:p>
    <w:p w14:paraId="4174479A">
      <w:pPr>
        <w:pStyle w:val="23"/>
        <w:tabs>
          <w:tab w:val="right" w:leader="dot" w:pos="8306"/>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_Toc11870 </w:instrText>
      </w:r>
      <w:r>
        <w:rPr>
          <w:rFonts w:hint="eastAsia" w:ascii="宋体" w:hAnsi="宋体" w:eastAsia="宋体"/>
          <w:bCs/>
          <w:szCs w:val="28"/>
          <w:lang w:val="zh-CN"/>
        </w:rPr>
        <w:fldChar w:fldCharType="separate"/>
      </w:r>
      <w:r>
        <w:rPr>
          <w:rFonts w:hint="eastAsia"/>
        </w:rPr>
        <w:t>十</w:t>
      </w:r>
      <w:r>
        <w:rPr>
          <w:rFonts w:hint="eastAsia"/>
          <w:lang w:val="en-US" w:eastAsia="zh-CN"/>
        </w:rPr>
        <w:t>三</w:t>
      </w:r>
      <w:r>
        <w:rPr>
          <w:rFonts w:hint="eastAsia"/>
        </w:rPr>
        <w:t>、</w:t>
      </w:r>
      <w:r>
        <w:t>项目实施效益</w:t>
      </w:r>
      <w:r>
        <w:tab/>
      </w:r>
      <w:r>
        <w:fldChar w:fldCharType="begin"/>
      </w:r>
      <w:r>
        <w:instrText xml:space="preserve"> PAGEREF _Toc11870 \h </w:instrText>
      </w:r>
      <w:r>
        <w:fldChar w:fldCharType="separate"/>
      </w:r>
      <w:r>
        <w:t>34</w:t>
      </w:r>
      <w:r>
        <w:fldChar w:fldCharType="end"/>
      </w:r>
      <w:r>
        <w:rPr>
          <w:rFonts w:hint="eastAsia" w:ascii="宋体" w:hAnsi="宋体" w:eastAsia="宋体"/>
          <w:bCs/>
          <w:szCs w:val="28"/>
          <w:lang w:val="zh-CN"/>
        </w:rPr>
        <w:fldChar w:fldCharType="end"/>
      </w:r>
    </w:p>
    <w:p w14:paraId="471033DA">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_Toc7504 </w:instrText>
      </w:r>
      <w:r>
        <w:rPr>
          <w:rFonts w:hint="eastAsia" w:ascii="宋体" w:hAnsi="宋体" w:eastAsia="宋体"/>
          <w:bCs/>
          <w:szCs w:val="28"/>
          <w:lang w:val="zh-CN"/>
        </w:rPr>
        <w:fldChar w:fldCharType="separate"/>
      </w:r>
      <w:r>
        <w:t>（一）政治效益</w:t>
      </w:r>
      <w:r>
        <w:tab/>
      </w:r>
      <w:r>
        <w:fldChar w:fldCharType="begin"/>
      </w:r>
      <w:r>
        <w:instrText xml:space="preserve"> PAGEREF _Toc7504 \h </w:instrText>
      </w:r>
      <w:r>
        <w:fldChar w:fldCharType="separate"/>
      </w:r>
      <w:r>
        <w:t>34</w:t>
      </w:r>
      <w:r>
        <w:fldChar w:fldCharType="end"/>
      </w:r>
      <w:r>
        <w:rPr>
          <w:rFonts w:hint="eastAsia" w:ascii="宋体" w:hAnsi="宋体" w:eastAsia="宋体"/>
          <w:bCs/>
          <w:szCs w:val="28"/>
          <w:lang w:val="zh-CN"/>
        </w:rPr>
        <w:fldChar w:fldCharType="end"/>
      </w:r>
    </w:p>
    <w:p w14:paraId="4FFEF1A4">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_Toc12669 </w:instrText>
      </w:r>
      <w:r>
        <w:rPr>
          <w:rFonts w:hint="eastAsia" w:ascii="宋体" w:hAnsi="宋体" w:eastAsia="宋体"/>
          <w:bCs/>
          <w:szCs w:val="28"/>
          <w:lang w:val="zh-CN"/>
        </w:rPr>
        <w:fldChar w:fldCharType="separate"/>
      </w:r>
      <w:r>
        <w:t>（二）经济效益</w:t>
      </w:r>
      <w:r>
        <w:tab/>
      </w:r>
      <w:r>
        <w:fldChar w:fldCharType="begin"/>
      </w:r>
      <w:r>
        <w:instrText xml:space="preserve"> PAGEREF _Toc12669 \h </w:instrText>
      </w:r>
      <w:r>
        <w:fldChar w:fldCharType="separate"/>
      </w:r>
      <w:r>
        <w:t>34</w:t>
      </w:r>
      <w:r>
        <w:fldChar w:fldCharType="end"/>
      </w:r>
      <w:r>
        <w:rPr>
          <w:rFonts w:hint="eastAsia" w:ascii="宋体" w:hAnsi="宋体" w:eastAsia="宋体"/>
          <w:bCs/>
          <w:szCs w:val="28"/>
          <w:lang w:val="zh-CN"/>
        </w:rPr>
        <w:fldChar w:fldCharType="end"/>
      </w:r>
    </w:p>
    <w:p w14:paraId="411B702D">
      <w:pPr>
        <w:pStyle w:val="27"/>
        <w:tabs>
          <w:tab w:val="right" w:leader="dot" w:pos="8306"/>
          <w:tab w:val="clear" w:pos="105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_Toc11677 </w:instrText>
      </w:r>
      <w:r>
        <w:rPr>
          <w:rFonts w:hint="eastAsia" w:ascii="宋体" w:hAnsi="宋体" w:eastAsia="宋体"/>
          <w:bCs/>
          <w:szCs w:val="28"/>
          <w:lang w:val="zh-CN"/>
        </w:rPr>
        <w:fldChar w:fldCharType="separate"/>
      </w:r>
      <w:r>
        <w:t>（三）社会效益</w:t>
      </w:r>
      <w:r>
        <w:tab/>
      </w:r>
      <w:r>
        <w:fldChar w:fldCharType="begin"/>
      </w:r>
      <w:r>
        <w:instrText xml:space="preserve"> PAGEREF _Toc11677 \h </w:instrText>
      </w:r>
      <w:r>
        <w:fldChar w:fldCharType="separate"/>
      </w:r>
      <w:r>
        <w:t>35</w:t>
      </w:r>
      <w:r>
        <w:fldChar w:fldCharType="end"/>
      </w:r>
      <w:r>
        <w:rPr>
          <w:rFonts w:hint="eastAsia" w:ascii="宋体" w:hAnsi="宋体" w:eastAsia="宋体"/>
          <w:bCs/>
          <w:szCs w:val="28"/>
          <w:lang w:val="zh-CN"/>
        </w:rPr>
        <w:fldChar w:fldCharType="end"/>
      </w:r>
    </w:p>
    <w:p w14:paraId="5BED9475">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_Toc15416 </w:instrText>
      </w:r>
      <w:r>
        <w:rPr>
          <w:rFonts w:hint="eastAsia" w:ascii="宋体" w:hAnsi="宋体" w:eastAsia="宋体"/>
          <w:bCs/>
          <w:szCs w:val="28"/>
          <w:lang w:val="zh-CN"/>
        </w:rPr>
        <w:fldChar w:fldCharType="separate"/>
      </w:r>
      <w:r>
        <w:rPr>
          <w:bCs/>
        </w:rPr>
        <w:t>深化多方协同治理</w:t>
      </w:r>
      <w:r>
        <w:t>：发挥社会资本在技术、管理、服务等方面优势，提升公共服务整体效能；借助企业渠道宣传城市形象，扩大对外开放与社会影响力。</w:t>
      </w:r>
      <w:r>
        <w:tab/>
      </w:r>
      <w:r>
        <w:fldChar w:fldCharType="begin"/>
      </w:r>
      <w:r>
        <w:instrText xml:space="preserve"> PAGEREF _Toc15416 \h </w:instrText>
      </w:r>
      <w:r>
        <w:fldChar w:fldCharType="separate"/>
      </w:r>
      <w:r>
        <w:t>35</w:t>
      </w:r>
      <w:r>
        <w:fldChar w:fldCharType="end"/>
      </w:r>
      <w:r>
        <w:rPr>
          <w:rFonts w:hint="eastAsia" w:ascii="宋体" w:hAnsi="宋体" w:eastAsia="宋体"/>
          <w:bCs/>
          <w:szCs w:val="28"/>
          <w:lang w:val="zh-CN"/>
        </w:rPr>
        <w:fldChar w:fldCharType="end"/>
      </w:r>
    </w:p>
    <w:p w14:paraId="5E60D609">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_Toc16546 </w:instrText>
      </w:r>
      <w:r>
        <w:rPr>
          <w:rFonts w:hint="eastAsia" w:ascii="宋体" w:hAnsi="宋体" w:eastAsia="宋体"/>
          <w:bCs/>
          <w:szCs w:val="28"/>
          <w:lang w:val="zh-CN"/>
        </w:rPr>
        <w:fldChar w:fldCharType="separate"/>
      </w:r>
      <w:r>
        <w:rPr>
          <w:rFonts w:hint="eastAsia"/>
        </w:rPr>
        <w:t>附件1：</w:t>
      </w:r>
      <w:r>
        <w:tab/>
      </w:r>
      <w:r>
        <w:fldChar w:fldCharType="begin"/>
      </w:r>
      <w:r>
        <w:instrText xml:space="preserve"> PAGEREF _Toc16546 \h </w:instrText>
      </w:r>
      <w:r>
        <w:fldChar w:fldCharType="separate"/>
      </w:r>
      <w:r>
        <w:t>36</w:t>
      </w:r>
      <w:r>
        <w:fldChar w:fldCharType="end"/>
      </w:r>
      <w:r>
        <w:rPr>
          <w:rFonts w:hint="eastAsia" w:ascii="宋体" w:hAnsi="宋体" w:eastAsia="宋体"/>
          <w:bCs/>
          <w:szCs w:val="28"/>
          <w:lang w:val="zh-CN"/>
        </w:rPr>
        <w:fldChar w:fldCharType="end"/>
      </w:r>
    </w:p>
    <w:p w14:paraId="68721D12">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_Toc14116 </w:instrText>
      </w:r>
      <w:r>
        <w:rPr>
          <w:rFonts w:hint="eastAsia" w:ascii="宋体" w:hAnsi="宋体" w:eastAsia="宋体"/>
          <w:bCs/>
          <w:szCs w:val="28"/>
          <w:lang w:val="zh-CN"/>
        </w:rPr>
        <w:fldChar w:fldCharType="separate"/>
      </w:r>
      <w:r>
        <w:rPr>
          <w:rFonts w:hint="eastAsia"/>
        </w:rPr>
        <w:t>附件2：</w:t>
      </w:r>
      <w:r>
        <w:tab/>
      </w:r>
      <w:r>
        <w:fldChar w:fldCharType="begin"/>
      </w:r>
      <w:r>
        <w:instrText xml:space="preserve"> PAGEREF _Toc14116 \h </w:instrText>
      </w:r>
      <w:r>
        <w:fldChar w:fldCharType="separate"/>
      </w:r>
      <w:r>
        <w:t>37</w:t>
      </w:r>
      <w:r>
        <w:fldChar w:fldCharType="end"/>
      </w:r>
      <w:r>
        <w:rPr>
          <w:rFonts w:hint="eastAsia" w:ascii="宋体" w:hAnsi="宋体" w:eastAsia="宋体"/>
          <w:bCs/>
          <w:szCs w:val="28"/>
          <w:lang w:val="zh-CN"/>
        </w:rPr>
        <w:fldChar w:fldCharType="end"/>
      </w:r>
    </w:p>
    <w:p w14:paraId="3EE6DC1A">
      <w:pPr>
        <w:pStyle w:val="19"/>
        <w:tabs>
          <w:tab w:val="right" w:leader="dot" w:pos="8306"/>
          <w:tab w:val="clear" w:pos="1680"/>
          <w:tab w:val="clear" w:pos="8296"/>
        </w:tabs>
      </w:pPr>
      <w:r>
        <w:rPr>
          <w:rFonts w:hint="eastAsia" w:ascii="宋体" w:hAnsi="宋体" w:eastAsia="宋体"/>
          <w:bCs/>
          <w:szCs w:val="28"/>
          <w:lang w:val="zh-CN"/>
        </w:rPr>
        <w:fldChar w:fldCharType="begin"/>
      </w:r>
      <w:r>
        <w:rPr>
          <w:rFonts w:hint="eastAsia" w:ascii="宋体" w:hAnsi="宋体" w:eastAsia="宋体"/>
          <w:bCs/>
          <w:szCs w:val="28"/>
          <w:lang w:val="zh-CN"/>
        </w:rPr>
        <w:instrText xml:space="preserve"> HYPERLINK \l _Toc19211 </w:instrText>
      </w:r>
      <w:r>
        <w:rPr>
          <w:rFonts w:hint="eastAsia" w:ascii="宋体" w:hAnsi="宋体" w:eastAsia="宋体"/>
          <w:bCs/>
          <w:szCs w:val="28"/>
          <w:lang w:val="zh-CN"/>
        </w:rPr>
        <w:fldChar w:fldCharType="separate"/>
      </w:r>
      <w:r>
        <w:rPr>
          <w:rFonts w:hint="eastAsia"/>
        </w:rPr>
        <w:t>附件3：</w:t>
      </w:r>
      <w:r>
        <w:tab/>
      </w:r>
      <w:r>
        <w:fldChar w:fldCharType="begin"/>
      </w:r>
      <w:r>
        <w:instrText xml:space="preserve"> PAGEREF _Toc19211 \h </w:instrText>
      </w:r>
      <w:r>
        <w:fldChar w:fldCharType="separate"/>
      </w:r>
      <w:r>
        <w:t>42</w:t>
      </w:r>
      <w:r>
        <w:fldChar w:fldCharType="end"/>
      </w:r>
      <w:r>
        <w:rPr>
          <w:rFonts w:hint="eastAsia" w:ascii="宋体" w:hAnsi="宋体" w:eastAsia="宋体"/>
          <w:bCs/>
          <w:szCs w:val="28"/>
          <w:lang w:val="zh-CN"/>
        </w:rPr>
        <w:fldChar w:fldCharType="end"/>
      </w:r>
    </w:p>
    <w:p w14:paraId="3B04FD02">
      <w:r>
        <w:rPr>
          <w:rFonts w:hint="eastAsia" w:ascii="宋体" w:hAnsi="宋体" w:eastAsia="宋体"/>
          <w:bCs/>
          <w:szCs w:val="28"/>
          <w:lang w:val="zh-CN"/>
        </w:rPr>
        <w:fldChar w:fldCharType="end"/>
      </w:r>
    </w:p>
    <w:p w14:paraId="62E55D66"/>
    <w:p w14:paraId="4D2F29B6">
      <w:pPr>
        <w:sectPr>
          <w:headerReference r:id="rId5" w:type="default"/>
          <w:footerReference r:id="rId6" w:type="default"/>
          <w:pgSz w:w="11906" w:h="16838"/>
          <w:pgMar w:top="1440" w:right="1800" w:bottom="1440" w:left="1800" w:header="851" w:footer="992" w:gutter="0"/>
          <w:pgNumType w:start="1"/>
          <w:cols w:space="425" w:num="1"/>
          <w:docGrid w:type="lines" w:linePitch="381" w:charSpace="0"/>
        </w:sectPr>
      </w:pPr>
    </w:p>
    <w:p w14:paraId="0B75D4DC">
      <w:pPr>
        <w:pStyle w:val="2"/>
        <w:jc w:val="center"/>
      </w:pPr>
      <w:bookmarkStart w:id="1" w:name="_Toc181653047"/>
      <w:bookmarkStart w:id="2" w:name="_Toc181653189"/>
      <w:bookmarkStart w:id="3" w:name="_Toc31591"/>
      <w:bookmarkStart w:id="4" w:name="_Toc180606098"/>
      <w:r>
        <w:t>前</w:t>
      </w:r>
      <w:r>
        <w:rPr>
          <w:rFonts w:hint="eastAsia"/>
        </w:rPr>
        <w:t xml:space="preserve"> </w:t>
      </w:r>
      <w:r>
        <w:t>言</w:t>
      </w:r>
      <w:bookmarkEnd w:id="1"/>
      <w:bookmarkEnd w:id="2"/>
      <w:bookmarkEnd w:id="3"/>
      <w:bookmarkEnd w:id="4"/>
    </w:p>
    <w:p w14:paraId="6FEF0BCC">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为推动托里县城市管理事业高质量发展，严格贯彻执行国家、自治区相关政策要求，深入落实《关于政府向社会力量购买服务的指导意见》《自治区政府购买服务工作实施方案》等文件精神，立足托里县实际，依据相关法规规定，编制本《托里县市政环卫一体化服务项目实施方案》。</w:t>
      </w:r>
    </w:p>
    <w:p w14:paraId="430215DA">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本项目核心目标为实现政府“管干分离”，打破“既是裁判员、又是运动员”的传统管理格局，切实减轻政府管理负担，提升托里县城市管理运行效率、公共服务作业质量及管理水平，全力营造干净、舒适、整洁的城市市容环境。</w:t>
      </w:r>
    </w:p>
    <w:p w14:paraId="6B2731DC">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项目实施过程中，将整合传统环卫业务，实现从道路清扫到垃圾转运的一体化闭环服务；在夯实传统环卫业务基础上，通过业务深度融合拓宽服务范围，构建全方位、全覆盖的大环卫运行体系，持续提升城市公共服务品质。同时，按照托里县城市公共服务实际需求，采用市场化运作模式，引入专业社会资本投入，加大机械设备购置与更新力度，新增道路清扫保洁、绿化养护相关设备，提高作业机械化水平；增配垃圾收集容器及生活垃圾清运车辆，严格落实生活垃圾密闭化收运要求，杜绝二次污染。</w:t>
      </w:r>
    </w:p>
    <w:p w14:paraId="709DA980">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围绕一体化运管模式，以城市环卫业务为核心载体，横向拓宽服务边界，逐步实现环卫、绿化养护、路灯管护、城市市政设施维修及其他公共空间经营等领域“一家管理、全面覆盖”，推动托里县城市公共服务提质增效、规范有序发展。</w:t>
      </w:r>
    </w:p>
    <w:p w14:paraId="71D80153">
      <w:pPr>
        <w:ind w:firstLine="560" w:firstLineChars="200"/>
        <w:rPr>
          <w:rFonts w:hint="eastAsia" w:ascii="仿宋_GB2312" w:hAnsi="宋体" w:eastAsia="仿宋_GB2312" w:cs="仿宋"/>
          <w:color w:val="333333"/>
          <w:szCs w:val="28"/>
          <w:shd w:val="clear" w:color="auto" w:fill="FFFFFF"/>
        </w:rPr>
      </w:pPr>
    </w:p>
    <w:p w14:paraId="09948DF3">
      <w:pPr>
        <w:ind w:firstLine="560" w:firstLineChars="200"/>
        <w:rPr>
          <w:rFonts w:hint="eastAsia" w:ascii="仿宋_GB2312" w:hAnsi="宋体" w:eastAsia="仿宋_GB2312" w:cs="仿宋"/>
          <w:color w:val="333333"/>
          <w:szCs w:val="28"/>
          <w:shd w:val="clear" w:color="auto" w:fill="FFFFFF"/>
        </w:rPr>
      </w:pPr>
    </w:p>
    <w:p w14:paraId="73020093">
      <w:pPr>
        <w:ind w:firstLine="560" w:firstLineChars="200"/>
        <w:rPr>
          <w:rFonts w:hint="eastAsia" w:ascii="仿宋_GB2312" w:hAnsi="宋体" w:eastAsia="仿宋_GB2312" w:cs="仿宋"/>
          <w:color w:val="333333"/>
          <w:szCs w:val="28"/>
          <w:shd w:val="clear" w:color="auto" w:fill="FFFFFF"/>
        </w:rPr>
        <w:sectPr>
          <w:headerReference r:id="rId7" w:type="default"/>
          <w:footerReference r:id="rId8" w:type="default"/>
          <w:pgSz w:w="11906" w:h="16838"/>
          <w:pgMar w:top="1440" w:right="1800" w:bottom="1440" w:left="1800" w:header="851" w:footer="992" w:gutter="0"/>
          <w:pgNumType w:start="1"/>
          <w:cols w:space="425" w:num="1"/>
          <w:docGrid w:type="lines" w:linePitch="381" w:charSpace="0"/>
        </w:sectPr>
      </w:pPr>
    </w:p>
    <w:p w14:paraId="0FFB64D6">
      <w:pPr>
        <w:ind w:firstLine="560" w:firstLineChars="200"/>
        <w:rPr>
          <w:rFonts w:hint="eastAsia" w:ascii="仿宋_GB2312" w:hAnsi="宋体" w:eastAsia="仿宋_GB2312" w:cs="仿宋"/>
          <w:color w:val="333333"/>
          <w:szCs w:val="28"/>
          <w:shd w:val="clear" w:color="auto" w:fill="FFFFFF"/>
        </w:rPr>
      </w:pPr>
    </w:p>
    <w:p w14:paraId="26024B49">
      <w:pPr>
        <w:pStyle w:val="2"/>
        <w:jc w:val="center"/>
        <w:rPr>
          <w:rFonts w:hint="eastAsia"/>
        </w:rPr>
      </w:pPr>
      <w:bookmarkStart w:id="5" w:name="_Toc2454"/>
      <w:r>
        <w:rPr>
          <w:rFonts w:hint="eastAsia"/>
        </w:rPr>
        <w:t>公平竞争审查声明</w:t>
      </w:r>
      <w:bookmarkEnd w:id="5"/>
    </w:p>
    <w:p w14:paraId="6D8710B9">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本方案制定已依据《公平竞争审查条例》（国务院令第783号）、《制止滥用行政权力排除、限制竞争行为规定》（市场监管总局令第64号）及《政府采购法》等相关法律法规进行公平竞争审查。审查结论为：</w:t>
      </w:r>
    </w:p>
    <w:p w14:paraId="0E3A597A">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（一）本方案未设定任何未经公平竞争授予的特许经营权；</w:t>
      </w:r>
    </w:p>
    <w:p w14:paraId="7D029379">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（二）本方案未限定或者变相限定经营、购买、使用特定经营者提供的商品和服务；</w:t>
      </w:r>
    </w:p>
    <w:p w14:paraId="32F8204A">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（三）本方案未设置不合理或者歧视性的准入条件；</w:t>
      </w:r>
    </w:p>
    <w:p w14:paraId="3BAF2AF2">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（四）本方案未违法设定或者变相设定市场退出障碍；</w:t>
      </w:r>
    </w:p>
    <w:p w14:paraId="6E4F1A5A">
      <w:pPr>
        <w:ind w:firstLine="560" w:firstLineChars="200"/>
        <w:rPr>
          <w:rFonts w:hint="eastAsia" w:ascii="仿宋_GB2312" w:hAnsi="宋体" w:eastAsia="仿宋_GB2312" w:cs="仿宋"/>
          <w:color w:val="333333"/>
          <w:szCs w:val="28"/>
          <w:shd w:val="clear" w:color="auto" w:fill="FFFFFF"/>
        </w:rPr>
      </w:pPr>
      <w:r>
        <w:rPr>
          <w:rFonts w:hint="eastAsia" w:ascii="仿宋_GB2312" w:hAnsi="宋体" w:eastAsia="仿宋_GB2312" w:cs="仿宋"/>
          <w:color w:val="333333"/>
          <w:szCs w:val="28"/>
          <w:shd w:val="clear" w:color="auto" w:fill="FFFFFF"/>
        </w:rPr>
        <w:t>（五）本方案不存在其他排除、限制竞争的内容。</w:t>
      </w:r>
    </w:p>
    <w:p w14:paraId="7DFA4487">
      <w:pPr>
        <w:ind w:firstLine="560" w:firstLineChars="200"/>
        <w:rPr>
          <w:rFonts w:hint="eastAsia" w:ascii="仿宋_GB2312" w:hAnsi="宋体" w:eastAsia="仿宋_GB2312" w:cs="仿宋"/>
          <w:color w:val="333333"/>
          <w:szCs w:val="28"/>
          <w:shd w:val="clear" w:color="auto" w:fill="FFFFFF"/>
        </w:rPr>
        <w:sectPr>
          <w:footerReference r:id="rId9" w:type="default"/>
          <w:pgSz w:w="11906" w:h="16838"/>
          <w:pgMar w:top="1440" w:right="1800" w:bottom="1440" w:left="1800" w:header="851" w:footer="992" w:gutter="0"/>
          <w:pgNumType w:start="1"/>
          <w:cols w:space="425" w:num="1"/>
          <w:docGrid w:type="lines" w:linePitch="381" w:charSpace="0"/>
        </w:sectPr>
      </w:pPr>
      <w:r>
        <w:rPr>
          <w:rFonts w:hint="eastAsia" w:ascii="仿宋_GB2312" w:hAnsi="宋体" w:eastAsia="仿宋_GB2312" w:cs="仿宋"/>
          <w:color w:val="333333"/>
          <w:szCs w:val="28"/>
          <w:shd w:val="clear" w:color="auto" w:fill="FFFFFF"/>
        </w:rPr>
        <w:t>后续据此编制的招标文件及合同草案，将在发布前完成公平竞争审查，审查结果随采购文件一并公示，接受社会监督。</w:t>
      </w:r>
    </w:p>
    <w:p w14:paraId="36E427B6">
      <w:pPr>
        <w:pStyle w:val="2"/>
      </w:pPr>
      <w:bookmarkStart w:id="6" w:name="_Toc19014"/>
      <w:bookmarkStart w:id="7" w:name="_Toc29389"/>
      <w:r>
        <w:rPr>
          <w:rFonts w:hint="eastAsia"/>
        </w:rPr>
        <w:t>一、项目</w:t>
      </w:r>
      <w:bookmarkEnd w:id="6"/>
      <w:r>
        <w:rPr>
          <w:rFonts w:hint="eastAsia"/>
        </w:rPr>
        <w:t>现状概述</w:t>
      </w:r>
      <w:bookmarkEnd w:id="7"/>
    </w:p>
    <w:p w14:paraId="7F88B7BB">
      <w:pPr>
        <w:pStyle w:val="3"/>
        <w:ind w:firstLine="321"/>
      </w:pPr>
      <w:bookmarkStart w:id="8" w:name="_Toc5709"/>
      <w:r>
        <w:rPr>
          <w:rFonts w:hint="eastAsia"/>
        </w:rPr>
        <w:t>（一）目前管理结构</w:t>
      </w:r>
      <w:bookmarkEnd w:id="8"/>
    </w:p>
    <w:p w14:paraId="7A7B3592">
      <w:pPr>
        <w:pStyle w:val="5"/>
        <w:ind w:firstLine="560"/>
        <w:rPr>
          <w:rFonts w:hint="eastAsia" w:ascii="仿宋_GB2312"/>
          <w:szCs w:val="28"/>
        </w:rPr>
      </w:pPr>
      <w:r>
        <w:rPr>
          <w:rFonts w:hint="eastAsia" w:ascii="仿宋_GB2312"/>
          <w:szCs w:val="28"/>
        </w:rPr>
        <w:t>目前，托里县市政、环卫、</w:t>
      </w:r>
      <w:r>
        <w:rPr>
          <w:rFonts w:hint="eastAsia" w:ascii="仿宋_GB2312"/>
          <w:szCs w:val="28"/>
          <w:lang w:val="en-US" w:eastAsia="zh-CN"/>
        </w:rPr>
        <w:t>园林</w:t>
      </w:r>
      <w:r>
        <w:rPr>
          <w:rFonts w:hint="eastAsia" w:ascii="仿宋_GB2312"/>
          <w:szCs w:val="28"/>
        </w:rPr>
        <w:t>绿化</w:t>
      </w:r>
      <w:r>
        <w:rPr>
          <w:rFonts w:hint="eastAsia" w:ascii="仿宋_GB2312"/>
          <w:szCs w:val="28"/>
          <w:lang w:val="en-US" w:eastAsia="zh-CN"/>
        </w:rPr>
        <w:t>等</w:t>
      </w:r>
      <w:r>
        <w:rPr>
          <w:rFonts w:hint="eastAsia" w:ascii="仿宋_GB2312"/>
          <w:szCs w:val="28"/>
        </w:rPr>
        <w:t>相关管理工作由托里县住房和城乡建设局下属托里县市政园林环卫处、公园服务中心、城建监察大队分别承担，未实现统一管理。其中，托里县市政园林环卫处主要负责城区道路清扫保洁、冬季除雪、生活垃圾清运及</w:t>
      </w:r>
      <w:r>
        <w:rPr>
          <w:rFonts w:hint="eastAsia" w:ascii="仿宋_GB2312"/>
          <w:szCs w:val="28"/>
          <w:lang w:val="en-US" w:eastAsia="zh-CN"/>
        </w:rPr>
        <w:t>园林</w:t>
      </w:r>
      <w:r>
        <w:rPr>
          <w:rFonts w:hint="eastAsia" w:ascii="仿宋_GB2312"/>
          <w:szCs w:val="28"/>
        </w:rPr>
        <w:t>绿化养护管理工作；公园服务中心负责城区人民公园生态园、儿童嘉年华游乐园</w:t>
      </w:r>
      <w:r>
        <w:rPr>
          <w:rFonts w:hint="eastAsia" w:ascii="仿宋_GB2312"/>
          <w:szCs w:val="28"/>
          <w:lang w:val="en-US" w:eastAsia="zh-CN"/>
        </w:rPr>
        <w:t>和镜泉湖等口袋公园</w:t>
      </w:r>
      <w:r>
        <w:rPr>
          <w:rFonts w:hint="eastAsia" w:ascii="仿宋_GB2312"/>
          <w:szCs w:val="28"/>
        </w:rPr>
        <w:t>的管理，以及公园内环卫保洁、</w:t>
      </w:r>
      <w:r>
        <w:rPr>
          <w:rFonts w:hint="eastAsia" w:ascii="仿宋_GB2312"/>
          <w:szCs w:val="28"/>
          <w:lang w:val="en-US" w:eastAsia="zh-CN"/>
        </w:rPr>
        <w:t>园林</w:t>
      </w:r>
      <w:r>
        <w:rPr>
          <w:rFonts w:hint="eastAsia" w:ascii="仿宋_GB2312"/>
          <w:szCs w:val="28"/>
        </w:rPr>
        <w:t>绿化养护相关工作；城建监察大队则负责城区路灯管护及市政设施维修维护工作。当前该管理模式仍处于“既是裁判员、又是运动员”的状态，尚未实现真正意义上的“管干分离”，管理效能有待进一步提升。</w:t>
      </w:r>
    </w:p>
    <w:p w14:paraId="38325D26">
      <w:pPr>
        <w:pStyle w:val="3"/>
        <w:ind w:firstLine="321"/>
      </w:pPr>
      <w:bookmarkStart w:id="9" w:name="_Toc32528"/>
      <w:r>
        <w:rPr>
          <w:rFonts w:hint="eastAsia"/>
        </w:rPr>
        <w:t>（二）目前主要的工作内容及范围</w:t>
      </w:r>
      <w:bookmarkEnd w:id="9"/>
    </w:p>
    <w:p w14:paraId="055EFBE1">
      <w:pPr>
        <w:pStyle w:val="5"/>
        <w:ind w:firstLine="562"/>
        <w:rPr>
          <w:rFonts w:hint="eastAsia" w:ascii="仿宋_GB2312"/>
          <w:szCs w:val="28"/>
        </w:rPr>
      </w:pPr>
      <w:r>
        <w:rPr>
          <w:rFonts w:hint="eastAsia" w:ascii="仿宋_GB2312"/>
          <w:b/>
          <w:bCs/>
          <w:szCs w:val="28"/>
        </w:rPr>
        <w:t>（</w:t>
      </w:r>
      <w:r>
        <w:rPr>
          <w:rFonts w:hint="eastAsia" w:ascii="仿宋_GB2312"/>
          <w:b/>
          <w:bCs/>
          <w:szCs w:val="28"/>
          <w:lang w:val="en-US" w:eastAsia="zh-CN"/>
        </w:rPr>
        <w:t>1</w:t>
      </w:r>
      <w:r>
        <w:rPr>
          <w:rFonts w:hint="eastAsia" w:ascii="仿宋_GB2312"/>
          <w:b/>
          <w:bCs/>
          <w:szCs w:val="28"/>
        </w:rPr>
        <w:t>）环卫：</w:t>
      </w:r>
      <w:r>
        <w:rPr>
          <w:rFonts w:hint="eastAsia" w:ascii="仿宋_GB2312"/>
          <w:szCs w:val="28"/>
        </w:rPr>
        <w:t>托里县城区道路清扫作业面积117.8万平方米，范围界限：东至文化东路出口，西至S318线与文化路接口；南至城南出口，北至喀普其克路与外环接口处。其中车行道清扫面积约83.65万平方米，人行道清扫面积约34.15万平方米，其中包括背街小巷及院坝及道路延伸段等清扫面积约10万平方米。主要道路1</w:t>
      </w:r>
      <w:r>
        <w:rPr>
          <w:rFonts w:hint="eastAsia" w:ascii="仿宋_GB2312"/>
          <w:szCs w:val="28"/>
          <w:lang w:val="en-US" w:eastAsia="zh-CN"/>
        </w:rPr>
        <w:t>5</w:t>
      </w:r>
      <w:r>
        <w:rPr>
          <w:rFonts w:hint="eastAsia" w:ascii="仿宋_GB2312"/>
          <w:szCs w:val="28"/>
        </w:rPr>
        <w:t>条，分别为：文化路、喀拉盖巴斯陶路、喀普其克路、复兴路、光明路、幸福路、团结路、霍赫逊路、玛依勒路、繁荣路</w:t>
      </w:r>
      <w:r>
        <w:rPr>
          <w:rFonts w:hint="eastAsia" w:ascii="仿宋_GB2312"/>
          <w:szCs w:val="28"/>
          <w:lang w:eastAsia="zh-CN"/>
        </w:rPr>
        <w:t>、</w:t>
      </w:r>
      <w:r>
        <w:rPr>
          <w:rFonts w:hint="eastAsia" w:ascii="仿宋_GB2312"/>
          <w:szCs w:val="28"/>
          <w:lang w:val="en-US" w:eastAsia="zh-CN"/>
        </w:rPr>
        <w:t>公园路、多拉特路</w:t>
      </w:r>
      <w:r>
        <w:rPr>
          <w:rFonts w:hint="eastAsia" w:ascii="仿宋_GB2312"/>
          <w:szCs w:val="28"/>
        </w:rPr>
        <w:t>和318金硕大道（环线），</w:t>
      </w:r>
      <w:r>
        <w:rPr>
          <w:rFonts w:hint="eastAsia" w:ascii="仿宋_GB2312"/>
          <w:szCs w:val="28"/>
          <w:lang w:val="en-US" w:eastAsia="zh-CN"/>
        </w:rPr>
        <w:t>及新增南外环路、北外环路。</w:t>
      </w:r>
      <w:r>
        <w:rPr>
          <w:rFonts w:hint="eastAsia" w:ascii="仿宋_GB2312"/>
          <w:szCs w:val="28"/>
        </w:rPr>
        <w:t>另有背街小巷若干。具体明细如下：</w:t>
      </w:r>
    </w:p>
    <w:p w14:paraId="01ED4247">
      <w:pPr>
        <w:jc w:val="center"/>
        <w:rPr>
          <w:rFonts w:hint="eastAsia" w:ascii="宋体" w:hAnsi="宋体" w:eastAsia="宋体"/>
          <w:szCs w:val="28"/>
        </w:rPr>
      </w:pPr>
      <w:r>
        <w:rPr>
          <w:rFonts w:cs="等线"/>
          <w:b/>
          <w:sz w:val="32"/>
          <w:szCs w:val="32"/>
        </w:rPr>
        <w:drawing>
          <wp:inline distT="0" distB="0" distL="0" distR="0">
            <wp:extent cx="5131435" cy="3035300"/>
            <wp:effectExtent l="0" t="0" r="0" b="0"/>
            <wp:docPr id="387645584" name="图片 2" descr="保洁明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45584" name="图片 2" descr="保洁明细"/>
                    <pic:cNvPicPr>
                      <a:picLocks noChangeAspect="1" noChangeArrowheads="1"/>
                    </pic:cNvPicPr>
                  </pic:nvPicPr>
                  <pic:blipFill>
                    <a:blip r:embed="rId13">
                      <a:extLst>
                        <a:ext uri="{28A0092B-C50C-407E-A947-70E740481C1C}">
                          <a14:useLocalDpi xmlns:a14="http://schemas.microsoft.com/office/drawing/2010/main" val="0"/>
                        </a:ext>
                      </a:extLst>
                    </a:blip>
                    <a:srcRect r="12054"/>
                    <a:stretch>
                      <a:fillRect/>
                    </a:stretch>
                  </pic:blipFill>
                  <pic:spPr>
                    <a:xfrm>
                      <a:off x="0" y="0"/>
                      <a:ext cx="5150098" cy="3046258"/>
                    </a:xfrm>
                    <a:prstGeom prst="rect">
                      <a:avLst/>
                    </a:prstGeom>
                    <a:noFill/>
                    <a:ln>
                      <a:noFill/>
                    </a:ln>
                  </pic:spPr>
                </pic:pic>
              </a:graphicData>
            </a:graphic>
          </wp:inline>
        </w:drawing>
      </w:r>
    </w:p>
    <w:p w14:paraId="142E6682">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2</w:t>
      </w:r>
      <w:r>
        <w:rPr>
          <w:rFonts w:hint="eastAsia" w:ascii="仿宋_GB2312" w:hAnsi="宋体" w:eastAsia="仿宋_GB2312"/>
          <w:b/>
          <w:bCs/>
          <w:szCs w:val="28"/>
        </w:rPr>
        <w:t>）冬季除雪：</w:t>
      </w:r>
      <w:r>
        <w:rPr>
          <w:rFonts w:hint="eastAsia" w:ascii="仿宋_GB2312" w:hAnsi="宋体" w:eastAsia="仿宋_GB2312"/>
          <w:szCs w:val="28"/>
        </w:rPr>
        <w:t>承担托里县城区文化路、喀拉盖巴斯陶路、喀普其克路、复兴路、光明路、幸福路、团结路、霍赫逊路、玛依勒路、繁荣路</w:t>
      </w:r>
      <w:r>
        <w:rPr>
          <w:rFonts w:hint="eastAsia" w:ascii="仿宋_GB2312" w:hAnsi="宋体" w:eastAsia="仿宋_GB2312"/>
          <w:szCs w:val="28"/>
          <w:lang w:eastAsia="zh-CN"/>
        </w:rPr>
        <w:t>、</w:t>
      </w:r>
      <w:r>
        <w:rPr>
          <w:rFonts w:hint="eastAsia" w:ascii="仿宋_GB2312" w:hAnsi="宋体" w:eastAsia="仿宋_GB2312"/>
          <w:szCs w:val="28"/>
          <w:lang w:val="en-US" w:eastAsia="zh-CN"/>
        </w:rPr>
        <w:t>公园路、多拉特路</w:t>
      </w:r>
      <w:r>
        <w:rPr>
          <w:rFonts w:hint="eastAsia" w:ascii="仿宋_GB2312" w:hAnsi="宋体" w:eastAsia="仿宋_GB2312"/>
          <w:szCs w:val="28"/>
        </w:rPr>
        <w:t>和318金硕大道（环线），</w:t>
      </w:r>
      <w:r>
        <w:rPr>
          <w:rFonts w:hint="eastAsia" w:ascii="仿宋_GB2312" w:hAnsi="宋体" w:eastAsia="仿宋_GB2312"/>
          <w:szCs w:val="28"/>
          <w:lang w:val="en-US" w:eastAsia="zh-CN"/>
        </w:rPr>
        <w:t>及新增南外环路、北外环路15条道路</w:t>
      </w:r>
      <w:r>
        <w:rPr>
          <w:rFonts w:hint="eastAsia" w:ascii="仿宋_GB2312" w:hAnsi="宋体" w:eastAsia="仿宋_GB2312"/>
          <w:szCs w:val="28"/>
        </w:rPr>
        <w:t>的冬季除雪工作。</w:t>
      </w:r>
    </w:p>
    <w:p w14:paraId="3E4DF6F4">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3</w:t>
      </w:r>
      <w:r>
        <w:rPr>
          <w:rFonts w:hint="eastAsia" w:ascii="仿宋_GB2312" w:hAnsi="宋体" w:eastAsia="仿宋_GB2312"/>
          <w:b/>
          <w:bCs/>
          <w:szCs w:val="28"/>
        </w:rPr>
        <w:t>）生活垃圾清运：</w:t>
      </w:r>
      <w:r>
        <w:rPr>
          <w:rFonts w:hint="eastAsia" w:ascii="仿宋_GB2312" w:hAnsi="宋体" w:eastAsia="仿宋_GB2312"/>
          <w:szCs w:val="28"/>
        </w:rPr>
        <w:t>承担托里县城区生活垃圾及餐厨垃圾的清运，日清运量约</w:t>
      </w:r>
      <w:r>
        <w:rPr>
          <w:rFonts w:hint="eastAsia" w:ascii="仿宋_GB2312" w:hAnsi="宋体" w:eastAsia="仿宋_GB2312"/>
          <w:szCs w:val="28"/>
          <w:lang w:val="en-US" w:eastAsia="zh-CN"/>
        </w:rPr>
        <w:t>70</w:t>
      </w:r>
      <w:r>
        <w:rPr>
          <w:rFonts w:hint="eastAsia" w:ascii="仿宋_GB2312" w:hAnsi="宋体" w:eastAsia="仿宋_GB2312"/>
          <w:szCs w:val="28"/>
        </w:rPr>
        <w:t>吨。</w:t>
      </w:r>
    </w:p>
    <w:p w14:paraId="1D0C81C8">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4</w:t>
      </w:r>
      <w:r>
        <w:rPr>
          <w:rFonts w:hint="eastAsia" w:ascii="仿宋_GB2312" w:hAnsi="宋体" w:eastAsia="仿宋_GB2312"/>
          <w:b/>
          <w:bCs/>
          <w:szCs w:val="28"/>
        </w:rPr>
        <w:t>）绿化：</w:t>
      </w:r>
      <w:r>
        <w:rPr>
          <w:rFonts w:hint="eastAsia" w:ascii="仿宋_GB2312" w:hAnsi="宋体" w:eastAsia="仿宋_GB2312"/>
          <w:szCs w:val="28"/>
        </w:rPr>
        <w:t>承担托里县城区托里县城区公共园林绿化约137.8万平方米的养护工作，其中道路绿化面积28.5万平方米，林区面积约109.3万平方米。</w:t>
      </w:r>
    </w:p>
    <w:p w14:paraId="7F05FF55">
      <w:pPr>
        <w:jc w:val="center"/>
        <w:rPr>
          <w:rFonts w:hint="eastAsia" w:ascii="宋体" w:hAnsi="宋体" w:eastAsia="宋体"/>
          <w:szCs w:val="28"/>
        </w:rPr>
      </w:pPr>
      <w:r>
        <w:rPr>
          <w:rFonts w:cs="等线"/>
          <w:b/>
          <w:sz w:val="32"/>
          <w:szCs w:val="32"/>
        </w:rPr>
        <w:drawing>
          <wp:inline distT="0" distB="0" distL="0" distR="0">
            <wp:extent cx="5004435" cy="3187700"/>
            <wp:effectExtent l="0" t="0" r="5715" b="0"/>
            <wp:docPr id="1145671458" name="图片 1" descr="绿化明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71458" name="图片 1" descr="绿化明细"/>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020343" cy="3197833"/>
                    </a:xfrm>
                    <a:prstGeom prst="rect">
                      <a:avLst/>
                    </a:prstGeom>
                    <a:noFill/>
                    <a:ln>
                      <a:noFill/>
                    </a:ln>
                  </pic:spPr>
                </pic:pic>
              </a:graphicData>
            </a:graphic>
          </wp:inline>
        </w:drawing>
      </w:r>
    </w:p>
    <w:p w14:paraId="5F09B5AF">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5</w:t>
      </w:r>
      <w:r>
        <w:rPr>
          <w:rFonts w:hint="eastAsia" w:ascii="仿宋_GB2312" w:hAnsi="宋体" w:eastAsia="仿宋_GB2312"/>
          <w:b/>
          <w:bCs/>
          <w:szCs w:val="28"/>
        </w:rPr>
        <w:t>）公园：</w:t>
      </w:r>
      <w:r>
        <w:rPr>
          <w:rFonts w:hint="eastAsia" w:ascii="仿宋_GB2312" w:hAnsi="宋体" w:eastAsia="仿宋_GB2312"/>
          <w:szCs w:val="28"/>
        </w:rPr>
        <w:t>承担托里县人民公园生态园、儿童嘉年华游乐园两个公园的环卫保洁、绿化养护管理工作，面积约799亩。</w:t>
      </w:r>
    </w:p>
    <w:p w14:paraId="76080D69">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6</w:t>
      </w:r>
      <w:r>
        <w:rPr>
          <w:rFonts w:hint="eastAsia" w:ascii="仿宋_GB2312" w:hAnsi="宋体" w:eastAsia="仿宋_GB2312"/>
          <w:b/>
          <w:bCs/>
          <w:szCs w:val="28"/>
        </w:rPr>
        <w:t>）路灯：</w:t>
      </w:r>
      <w:r>
        <w:rPr>
          <w:rFonts w:hint="eastAsia" w:ascii="仿宋_GB2312" w:hAnsi="宋体" w:eastAsia="仿宋_GB2312"/>
          <w:szCs w:val="28"/>
        </w:rPr>
        <w:t>承担托里县城区1328个灯杆、2656盏路灯、4台变压器、1台电箱、26个路灯控制柜的维修维护工作。</w:t>
      </w:r>
    </w:p>
    <w:p w14:paraId="4F94CADE">
      <w:pPr>
        <w:ind w:firstLine="562" w:firstLineChars="200"/>
        <w:rPr>
          <w:rFonts w:hint="eastAsia" w:ascii="仿宋_GB2312" w:hAnsi="宋体" w:eastAsia="仿宋_GB2312"/>
          <w:szCs w:val="28"/>
        </w:rPr>
      </w:pPr>
      <w:r>
        <w:rPr>
          <w:rFonts w:hint="eastAsia" w:ascii="仿宋_GB2312" w:hAnsi="宋体" w:eastAsia="仿宋_GB2312"/>
          <w:b/>
          <w:bCs/>
          <w:szCs w:val="28"/>
        </w:rPr>
        <w:t>（</w:t>
      </w:r>
      <w:r>
        <w:rPr>
          <w:rFonts w:hint="eastAsia" w:ascii="仿宋_GB2312" w:hAnsi="宋体" w:eastAsia="仿宋_GB2312"/>
          <w:b/>
          <w:bCs/>
          <w:szCs w:val="28"/>
          <w:lang w:val="en-US" w:eastAsia="zh-CN"/>
        </w:rPr>
        <w:t>7</w:t>
      </w:r>
      <w:r>
        <w:rPr>
          <w:rFonts w:hint="eastAsia" w:ascii="仿宋_GB2312" w:hAnsi="宋体" w:eastAsia="仿宋_GB2312"/>
          <w:b/>
          <w:bCs/>
          <w:szCs w:val="28"/>
        </w:rPr>
        <w:t>）市政设施维修维护：</w:t>
      </w:r>
      <w:r>
        <w:rPr>
          <w:rFonts w:hint="eastAsia" w:ascii="仿宋_GB2312" w:hAnsi="宋体" w:eastAsia="仿宋_GB2312"/>
          <w:szCs w:val="28"/>
        </w:rPr>
        <w:t>承担托里县城区沥青路面及混凝土路面、市政公厕、公园和广场相关设施的零星修复工作。</w:t>
      </w:r>
    </w:p>
    <w:p w14:paraId="455F0B7F">
      <w:pPr>
        <w:pStyle w:val="3"/>
        <w:ind w:firstLine="321"/>
      </w:pPr>
      <w:bookmarkStart w:id="10" w:name="_Toc14576"/>
      <w:r>
        <w:rPr>
          <w:rFonts w:hint="eastAsia"/>
        </w:rPr>
        <w:t>（三）目前在职人员情况</w:t>
      </w:r>
      <w:bookmarkEnd w:id="10"/>
    </w:p>
    <w:p w14:paraId="09029A13">
      <w:pPr>
        <w:pStyle w:val="5"/>
        <w:ind w:firstLine="560"/>
        <w:rPr>
          <w:rFonts w:hint="eastAsia" w:ascii="仿宋_GB2312"/>
          <w:szCs w:val="28"/>
        </w:rPr>
      </w:pPr>
      <w:r>
        <w:rPr>
          <w:rFonts w:hint="eastAsia" w:ascii="仿宋_GB2312"/>
          <w:szCs w:val="28"/>
        </w:rPr>
        <w:t>目前，在人员共210人（人员结构：在编68人，县财政36人，公益岗14人，临聘92人）。</w:t>
      </w:r>
    </w:p>
    <w:p w14:paraId="01872B2D">
      <w:pPr>
        <w:pStyle w:val="5"/>
        <w:ind w:firstLine="560"/>
        <w:rPr>
          <w:rFonts w:hint="eastAsia" w:ascii="仿宋_GB2312"/>
          <w:szCs w:val="28"/>
        </w:rPr>
      </w:pPr>
      <w:r>
        <w:rPr>
          <w:rFonts w:hint="eastAsia" w:ascii="仿宋_GB2312"/>
          <w:szCs w:val="28"/>
        </w:rPr>
        <w:t>其中，市政园林环卫中心162人（人员结构：在编54人，县财政31人，公益岗14人，临聘63人）；公园服务中心48人，（人员结构：在编14人，县财政5人，公益岗0人，临聘29人）；男女比例46%：54%、民汉比例为85%：15%。</w:t>
      </w:r>
    </w:p>
    <w:p w14:paraId="61CEDFA6">
      <w:pPr>
        <w:pStyle w:val="3"/>
        <w:ind w:firstLine="321"/>
      </w:pPr>
      <w:bookmarkStart w:id="11" w:name="_Toc9479"/>
      <w:r>
        <w:rPr>
          <w:rFonts w:hint="eastAsia"/>
        </w:rPr>
        <w:t>（四）现有车辆情况</w:t>
      </w:r>
      <w:bookmarkEnd w:id="11"/>
    </w:p>
    <w:p w14:paraId="73587765">
      <w:pPr>
        <w:pStyle w:val="5"/>
        <w:ind w:firstLine="560"/>
        <w:rPr>
          <w:rFonts w:hint="eastAsia" w:ascii="仿宋_GB2312"/>
          <w:szCs w:val="28"/>
        </w:rPr>
      </w:pPr>
      <w:r>
        <w:rPr>
          <w:rFonts w:hint="eastAsia" w:ascii="仿宋_GB2312"/>
          <w:szCs w:val="28"/>
        </w:rPr>
        <w:t>目前，托里县现有各类作业及公务车辆共计</w:t>
      </w:r>
      <w:r>
        <w:rPr>
          <w:rFonts w:hint="eastAsia" w:ascii="仿宋_GB2312"/>
          <w:szCs w:val="28"/>
          <w:lang w:val="en-US" w:eastAsia="zh-CN"/>
        </w:rPr>
        <w:t>120</w:t>
      </w:r>
      <w:r>
        <w:rPr>
          <w:rFonts w:hint="eastAsia" w:ascii="仿宋_GB2312"/>
          <w:szCs w:val="28"/>
        </w:rPr>
        <w:t>辆，其中专项作业车</w:t>
      </w:r>
      <w:r>
        <w:rPr>
          <w:rFonts w:hint="eastAsia" w:ascii="仿宋_GB2312"/>
          <w:szCs w:val="28"/>
          <w:lang w:val="en-US" w:eastAsia="zh-CN"/>
        </w:rPr>
        <w:t>115</w:t>
      </w:r>
      <w:r>
        <w:rPr>
          <w:rFonts w:hint="eastAsia" w:ascii="仿宋_GB2312"/>
          <w:szCs w:val="28"/>
        </w:rPr>
        <w:t>辆、公务用车</w:t>
      </w:r>
      <w:r>
        <w:rPr>
          <w:rFonts w:hint="eastAsia" w:ascii="仿宋_GB2312"/>
          <w:szCs w:val="28"/>
          <w:lang w:val="en-US" w:eastAsia="zh-CN"/>
        </w:rPr>
        <w:t>5</w:t>
      </w:r>
      <w:r>
        <w:rPr>
          <w:rFonts w:hint="eastAsia" w:ascii="仿宋_GB2312"/>
          <w:szCs w:val="28"/>
        </w:rPr>
        <w:t>辆。从车辆使用状况来看，待报废车辆</w:t>
      </w:r>
      <w:r>
        <w:rPr>
          <w:rFonts w:hint="eastAsia" w:ascii="仿宋_GB2312"/>
          <w:szCs w:val="28"/>
          <w:lang w:val="en-US" w:eastAsia="zh-CN"/>
        </w:rPr>
        <w:t>47</w:t>
      </w:r>
      <w:r>
        <w:rPr>
          <w:rFonts w:hint="eastAsia" w:ascii="仿宋_GB2312"/>
          <w:szCs w:val="28"/>
        </w:rPr>
        <w:t>辆，占总车辆数的</w:t>
      </w:r>
      <w:r>
        <w:rPr>
          <w:rFonts w:hint="eastAsia" w:ascii="仿宋_GB2312"/>
          <w:szCs w:val="28"/>
          <w:lang w:val="en-US" w:eastAsia="zh-CN"/>
        </w:rPr>
        <w:t>39.17</w:t>
      </w:r>
      <w:r>
        <w:rPr>
          <w:rFonts w:hint="eastAsia" w:ascii="仿宋_GB2312"/>
          <w:szCs w:val="28"/>
        </w:rPr>
        <w:t>%；正常使用车辆</w:t>
      </w:r>
      <w:r>
        <w:rPr>
          <w:rFonts w:hint="eastAsia" w:ascii="仿宋_GB2312"/>
          <w:szCs w:val="28"/>
          <w:lang w:val="en-US" w:eastAsia="zh-CN"/>
        </w:rPr>
        <w:t>68</w:t>
      </w:r>
      <w:r>
        <w:rPr>
          <w:rFonts w:hint="eastAsia" w:ascii="仿宋_GB2312"/>
          <w:szCs w:val="28"/>
        </w:rPr>
        <w:t>辆，占总车辆数的</w:t>
      </w:r>
      <w:r>
        <w:rPr>
          <w:rFonts w:hint="eastAsia" w:ascii="仿宋_GB2312"/>
          <w:szCs w:val="28"/>
          <w:lang w:val="en-US" w:eastAsia="zh-CN"/>
        </w:rPr>
        <w:t>56.67</w:t>
      </w:r>
      <w:r>
        <w:rPr>
          <w:rFonts w:hint="eastAsia" w:ascii="仿宋_GB2312"/>
          <w:szCs w:val="28"/>
        </w:rPr>
        <w:t>%。在正常使用的车辆中，使用年限超过8年及以上的有67辆，占正在使用车辆的74%；使用年限在8年以下的有24辆，仅占正在使用车辆的26%。</w:t>
      </w:r>
    </w:p>
    <w:p w14:paraId="3240B0F8">
      <w:pPr>
        <w:pStyle w:val="3"/>
        <w:ind w:firstLine="321"/>
      </w:pPr>
      <w:bookmarkStart w:id="12" w:name="_Toc28936"/>
      <w:r>
        <w:rPr>
          <w:rFonts w:hint="eastAsia"/>
        </w:rPr>
        <w:t>（五）现有生活垃圾收集设施情况</w:t>
      </w:r>
      <w:bookmarkEnd w:id="12"/>
    </w:p>
    <w:p w14:paraId="64ED540E">
      <w:pPr>
        <w:pStyle w:val="5"/>
        <w:ind w:firstLine="560"/>
        <w:rPr>
          <w:rFonts w:hint="eastAsia" w:ascii="仿宋_GB2312"/>
          <w:szCs w:val="28"/>
        </w:rPr>
      </w:pPr>
      <w:r>
        <w:rPr>
          <w:rFonts w:hint="eastAsia" w:ascii="仿宋_GB2312"/>
          <w:szCs w:val="28"/>
        </w:rPr>
        <w:t>托里县城区生活垃圾采用“大型船式垃圾箱+道路果皮箱”相结合的方式进行收集，其中大型船式垃圾箱共328只，道路果皮箱共200只，形成了覆盖城区的生活垃圾初步收集网络。</w:t>
      </w:r>
    </w:p>
    <w:p w14:paraId="076C7DE7">
      <w:pPr>
        <w:pStyle w:val="3"/>
        <w:ind w:firstLine="321"/>
        <w:jc w:val="both"/>
        <w:rPr>
          <w:highlight w:val="none"/>
        </w:rPr>
      </w:pPr>
      <w:bookmarkStart w:id="13" w:name="_Toc995"/>
      <w:bookmarkStart w:id="14" w:name="_Toc226150333"/>
      <w:r>
        <w:rPr>
          <w:rFonts w:hint="eastAsia"/>
          <w:highlight w:val="none"/>
        </w:rPr>
        <w:t>（六）近三年费用支出情况</w:t>
      </w:r>
      <w:bookmarkEnd w:id="13"/>
    </w:p>
    <w:p w14:paraId="3561A3E8">
      <w:pPr>
        <w:pStyle w:val="5"/>
        <w:ind w:firstLine="560"/>
        <w:rPr>
          <w:rFonts w:hint="eastAsia"/>
        </w:rPr>
      </w:pPr>
      <w:r>
        <w:rPr>
          <w:rFonts w:hint="eastAsia" w:ascii="仿宋_GB2312"/>
          <w:szCs w:val="28"/>
          <w:lang w:val="en-US" w:eastAsia="zh-CN"/>
        </w:rPr>
        <w:t>近三年托里县市政环卫领域年度财政支出分别约为33502078.68万元、38148059.54万元、37033479.88万元。年均支出约36227872.7万元（以2025年在职在编人员工资13750265.4元为参照，其它各类支出为22477607.3）</w:t>
      </w:r>
      <w:bookmarkEnd w:id="14"/>
      <w:r>
        <w:rPr>
          <w:rFonts w:hint="eastAsia" w:ascii="仿宋_GB2312"/>
          <w:szCs w:val="28"/>
          <w:lang w:val="en-US" w:eastAsia="zh-CN"/>
        </w:rPr>
        <w:t>。</w:t>
      </w:r>
    </w:p>
    <w:p w14:paraId="70612315">
      <w:pPr>
        <w:pStyle w:val="2"/>
      </w:pPr>
      <w:bookmarkStart w:id="15" w:name="_Toc12201"/>
      <w:r>
        <w:rPr>
          <w:rFonts w:hint="eastAsia"/>
        </w:rPr>
        <w:t>二、现有人员安置</w:t>
      </w:r>
      <w:bookmarkEnd w:id="15"/>
    </w:p>
    <w:p w14:paraId="3F1D91FF">
      <w:pPr>
        <w:pStyle w:val="5"/>
        <w:ind w:firstLine="560"/>
        <w:rPr>
          <w:rFonts w:hint="eastAsia" w:ascii="仿宋_GB2312"/>
        </w:rPr>
      </w:pPr>
      <w:r>
        <w:t></w:t>
      </w:r>
      <w:r>
        <w:rPr>
          <w:rFonts w:hint="eastAsia" w:ascii="仿宋_GB2312"/>
          <w:b/>
          <w:bCs/>
        </w:rPr>
        <w:t>1、人员平稳过渡：</w:t>
      </w:r>
      <w:r>
        <w:rPr>
          <w:rFonts w:hint="eastAsia" w:ascii="仿宋_GB2312"/>
        </w:rPr>
        <w:t>项目实施后，按照平等自愿、双向选择、依法合规的原则推进人员安置。运营单位应根据岗位需求优先招录符合条件的现有在岗人员，在同等条件下原在岗人员享有优先录用权。招聘条件不得设置不合理的歧视性限制。</w:t>
      </w:r>
    </w:p>
    <w:p w14:paraId="051A7F70">
      <w:pPr>
        <w:pStyle w:val="5"/>
        <w:ind w:firstLine="560"/>
        <w:rPr>
          <w:rFonts w:hint="eastAsia" w:ascii="仿宋_GB2312"/>
        </w:rPr>
      </w:pPr>
      <w:r>
        <w:rPr>
          <w:rFonts w:hint="eastAsia" w:ascii="仿宋_GB2312"/>
        </w:rPr>
        <w:t>现有人员原劳动关系由原用人单位依法终止或解除，涉及经济补偿的按《中华人民共和国劳动合同法》第四十六条、第四十七条规定执行，由原用人单位承担。运营单位与录用人员重新签订劳动合同，建立新的劳动关系。</w:t>
      </w:r>
    </w:p>
    <w:p w14:paraId="36C4D339">
      <w:pPr>
        <w:pStyle w:val="5"/>
        <w:ind w:firstLine="560"/>
        <w:rPr>
          <w:rFonts w:hint="eastAsia" w:ascii="仿宋_GB2312"/>
        </w:rPr>
      </w:pPr>
      <w:r>
        <w:rPr>
          <w:rFonts w:hint="eastAsia" w:ascii="仿宋_GB2312"/>
        </w:rPr>
        <w:t>其中，在编事业编制人员由原单位按事业单位人事管理相关法规妥善安置，不纳入运营单位劳动关系管理范畴，具体人员分流方案由县人社局、住建局另行制定。</w:t>
      </w:r>
    </w:p>
    <w:p w14:paraId="3F11B413">
      <w:pPr>
        <w:pStyle w:val="5"/>
        <w:ind w:firstLine="562"/>
        <w:rPr>
          <w:rFonts w:hint="eastAsia" w:ascii="仿宋_GB2312" w:eastAsia="仿宋_GB2312"/>
          <w:lang w:eastAsia="zh-CN"/>
        </w:rPr>
      </w:pPr>
      <w:r>
        <w:rPr>
          <w:rFonts w:hint="eastAsia" w:ascii="仿宋_GB2312"/>
          <w:b/>
          <w:bCs/>
        </w:rPr>
        <w:t>2、薪酬与过渡期保障：</w:t>
      </w:r>
      <w:r>
        <w:rPr>
          <w:rFonts w:hint="eastAsia" w:ascii="仿宋_GB2312"/>
        </w:rPr>
        <w:t>运营单位录用原在岗人员的，薪酬标准不低于原有水平，且不低于自治区人民政府届时公布的托里县最低工资标准。过渡期（自运营单位接收之日起三个月）内岗位设置及薪酬待遇保持相对稳定；过渡期结束后，按市场化机制及企业制度实施管理</w:t>
      </w:r>
      <w:r>
        <w:rPr>
          <w:rFonts w:hint="eastAsia" w:ascii="仿宋_GB2312"/>
          <w:lang w:eastAsia="zh-CN"/>
        </w:rPr>
        <w:t>。</w:t>
      </w:r>
    </w:p>
    <w:p w14:paraId="596DBB80">
      <w:pPr>
        <w:pStyle w:val="5"/>
        <w:ind w:firstLine="560"/>
        <w:rPr>
          <w:rFonts w:hint="eastAsia" w:ascii="仿宋_GB2312"/>
        </w:rPr>
      </w:pPr>
      <w:r>
        <w:rPr>
          <w:rFonts w:hint="eastAsia" w:ascii="仿宋_GB2312"/>
        </w:rPr>
        <w:t></w:t>
      </w:r>
      <w:r>
        <w:rPr>
          <w:rFonts w:hint="eastAsia" w:ascii="仿宋_GB2312"/>
          <w:b/>
          <w:bCs/>
        </w:rPr>
        <w:t>3、薪酬增长与保险保障：</w:t>
      </w:r>
      <w:r>
        <w:rPr>
          <w:rFonts w:hint="eastAsia" w:ascii="仿宋_GB2312"/>
        </w:rPr>
        <w:t>运营单位建立常态化工资增长机制，加班费严格按照国家政策执行，依法为职工缴纳社会保险。新聘用及其他设试用期人员，试用期内至少购买人身意外伤害保险。</w:t>
      </w:r>
    </w:p>
    <w:p w14:paraId="216735C1">
      <w:pPr>
        <w:pStyle w:val="5"/>
        <w:ind w:firstLine="562"/>
        <w:rPr>
          <w:rFonts w:hint="eastAsia" w:ascii="仿宋_GB2312"/>
        </w:rPr>
      </w:pPr>
      <w:r>
        <w:rPr>
          <w:rFonts w:hint="eastAsia" w:ascii="仿宋_GB2312"/>
          <w:b/>
          <w:bCs/>
        </w:rPr>
        <w:t>4、合规用工管理：</w:t>
      </w:r>
      <w:r>
        <w:rPr>
          <w:rFonts w:hint="eastAsia" w:ascii="仿宋_GB2312"/>
        </w:rPr>
        <w:t>运营单位用工全程遵守《中华人民共和国劳动合同法》及现行法律法规，工资、加班费、社会保险等均按法定标准执行。</w:t>
      </w:r>
    </w:p>
    <w:p w14:paraId="2D92CDA2">
      <w:pPr>
        <w:pStyle w:val="5"/>
        <w:ind w:firstLine="843" w:firstLineChars="300"/>
        <w:rPr>
          <w:rFonts w:hint="eastAsia" w:ascii="仿宋_GB2312"/>
          <w:lang w:val="en-US" w:eastAsia="zh-CN"/>
        </w:rPr>
      </w:pPr>
      <w:r>
        <w:rPr>
          <w:rFonts w:hint="eastAsia" w:ascii="仿宋_GB2312"/>
          <w:b/>
          <w:bCs/>
          <w:lang w:val="en-US" w:eastAsia="zh-CN"/>
        </w:rPr>
        <w:t>5、用工自主权：</w:t>
      </w:r>
      <w:r>
        <w:rPr>
          <w:rFonts w:hint="eastAsia" w:ascii="仿宋_GB2312"/>
          <w:lang w:val="en-US" w:eastAsia="zh-CN"/>
        </w:rPr>
        <w:t>运营单位可根据实际作业需求及岗位设置，依法自主确定用工规模及人员编制，不受原有编制总数及人员结构比例的限制。</w:t>
      </w:r>
    </w:p>
    <w:p w14:paraId="7F430477">
      <w:pPr>
        <w:pStyle w:val="2"/>
      </w:pPr>
      <w:bookmarkStart w:id="16" w:name="_Toc25729"/>
      <w:r>
        <w:rPr>
          <w:rFonts w:hint="eastAsia"/>
        </w:rPr>
        <w:t>三、</w:t>
      </w:r>
      <w:r>
        <w:t>现有</w:t>
      </w:r>
      <w:r>
        <w:rPr>
          <w:rFonts w:hint="eastAsia"/>
        </w:rPr>
        <w:t>固定</w:t>
      </w:r>
      <w:r>
        <w:t>资产处置方式</w:t>
      </w:r>
      <w:bookmarkEnd w:id="16"/>
    </w:p>
    <w:p w14:paraId="2ABEEDBC">
      <w:pPr>
        <w:pStyle w:val="5"/>
        <w:spacing w:line="336" w:lineRule="auto"/>
        <w:ind w:firstLine="560"/>
        <w:rPr>
          <w:rFonts w:hint="eastAsia"/>
        </w:rPr>
      </w:pPr>
      <w:r>
        <w:rPr>
          <w:rFonts w:hint="eastAsia"/>
        </w:rPr>
        <w:t>结合市场化的实施案例，政府现有固定资产建议采用以下处置方式：</w:t>
      </w:r>
    </w:p>
    <w:p w14:paraId="58BEC542">
      <w:pPr>
        <w:pStyle w:val="3"/>
        <w:ind w:firstLine="321"/>
      </w:pPr>
      <w:bookmarkStart w:id="17" w:name="_Toc11758"/>
      <w:r>
        <w:rPr>
          <w:rFonts w:hint="eastAsia"/>
        </w:rPr>
        <w:t>（一）设施设备</w:t>
      </w:r>
      <w:bookmarkEnd w:id="17"/>
    </w:p>
    <w:p w14:paraId="143BBEA7">
      <w:pPr>
        <w:pStyle w:val="5"/>
        <w:ind w:firstLine="562"/>
        <w:rPr>
          <w:rFonts w:hint="eastAsia"/>
        </w:rPr>
      </w:pPr>
      <w:bookmarkStart w:id="18" w:name="_Hlk194047460"/>
      <w:r>
        <w:rPr>
          <w:rFonts w:hint="eastAsia"/>
          <w:b/>
          <w:bCs/>
        </w:rPr>
        <w:t>（1）基础设施：</w:t>
      </w:r>
      <w:r>
        <w:rPr>
          <w:rFonts w:hint="eastAsia"/>
        </w:rPr>
        <w:t>基础设施是指生活垃圾中转站、垃圾房、加水站（井）、环卫工人休息室等作业生产所用的基础设施，该设施建议无偿交有运营单位使用，由运营单位负责运行维护。</w:t>
      </w:r>
    </w:p>
    <w:p w14:paraId="193E71E0">
      <w:pPr>
        <w:pStyle w:val="5"/>
        <w:ind w:firstLine="562"/>
        <w:rPr>
          <w:rFonts w:hint="eastAsia"/>
          <w:b/>
          <w:bCs/>
        </w:rPr>
      </w:pPr>
      <w:r>
        <w:rPr>
          <w:rFonts w:hint="eastAsia"/>
          <w:b/>
          <w:bCs/>
        </w:rPr>
        <w:t>（2）办公楼、停车场：</w:t>
      </w:r>
      <w:r>
        <w:rPr>
          <w:rFonts w:hint="eastAsia" w:ascii="仿宋_GB2312"/>
          <w:szCs w:val="28"/>
        </w:rPr>
        <w:t>县市政园林环卫处现有的办公楼、停车场市场化后，根据闲置情况，以租赁的方式交由运营单位有偿使用。</w:t>
      </w:r>
    </w:p>
    <w:p w14:paraId="431D4246">
      <w:pPr>
        <w:pStyle w:val="5"/>
        <w:ind w:firstLine="562"/>
        <w:rPr>
          <w:rFonts w:hint="eastAsia" w:ascii="仿宋_GB2312"/>
          <w:szCs w:val="28"/>
        </w:rPr>
      </w:pPr>
      <w:r>
        <w:rPr>
          <w:rFonts w:hint="eastAsia" w:ascii="宋体" w:hAnsi="宋体" w:eastAsia="仿宋_GB2312" w:cs="Calibri"/>
          <w:b/>
          <w:bCs/>
          <w:kern w:val="2"/>
          <w:sz w:val="28"/>
          <w:szCs w:val="24"/>
          <w:lang w:val="en-US" w:eastAsia="zh-CN" w:bidi="ar-SA"/>
        </w:rPr>
        <w:t>（3）现有车辆：</w:t>
      </w:r>
      <w:r>
        <w:rPr>
          <w:rFonts w:hint="eastAsia" w:ascii="仿宋_GB2312"/>
          <w:szCs w:val="28"/>
        </w:rPr>
        <w:t>政府现有的环卫车辆经第三方评估机构评估后，交由运营服务单位自主选择使用方式。运营单位可采取以下任一方式满足作业设备需求：</w:t>
      </w:r>
    </w:p>
    <w:p w14:paraId="20C481C7">
      <w:pPr>
        <w:pStyle w:val="5"/>
        <w:ind w:firstLine="562"/>
        <w:rPr>
          <w:rFonts w:hint="eastAsia" w:ascii="仿宋_GB2312"/>
          <w:szCs w:val="28"/>
        </w:rPr>
      </w:pPr>
      <w:r>
        <w:rPr>
          <w:rFonts w:hint="eastAsia" w:ascii="仿宋_GB2312"/>
          <w:szCs w:val="28"/>
        </w:rPr>
        <w:t>（a）以租赁方式使用现有车辆，租赁费用标准及安全责任在合同中另行约定；</w:t>
      </w:r>
    </w:p>
    <w:p w14:paraId="37DFBBC9">
      <w:pPr>
        <w:pStyle w:val="5"/>
        <w:ind w:firstLine="562"/>
        <w:rPr>
          <w:rFonts w:hint="eastAsia" w:ascii="仿宋_GB2312"/>
          <w:szCs w:val="28"/>
        </w:rPr>
      </w:pPr>
      <w:r>
        <w:rPr>
          <w:rFonts w:hint="eastAsia" w:ascii="仿宋_GB2312"/>
          <w:szCs w:val="28"/>
        </w:rPr>
        <w:t>（b）自行购置或自带符合本项目作业标准及数量要求的车辆设备投入运营。</w:t>
      </w:r>
    </w:p>
    <w:p w14:paraId="7208EA3C">
      <w:pPr>
        <w:pStyle w:val="5"/>
        <w:ind w:firstLine="562"/>
        <w:rPr>
          <w:rFonts w:hint="eastAsia"/>
        </w:rPr>
      </w:pPr>
      <w:r>
        <w:rPr>
          <w:rFonts w:hint="eastAsia" w:ascii="仿宋_GB2312"/>
          <w:szCs w:val="28"/>
        </w:rPr>
        <w:t>无论采取何种方式，运营单位均应确保作业车辆的数量、性能、环保标准满足合同约定的作业质量要求。合同期内，现有车辆如需报废，运营单位须配合政府办理相关手续；服务期满后，涉及租赁的政府车辆按合同约定归还，运营单位自购设备权属归运营单位所有，自行处置。</w:t>
      </w:r>
    </w:p>
    <w:bookmarkEnd w:id="18"/>
    <w:p w14:paraId="3804F3A1">
      <w:pPr>
        <w:pStyle w:val="5"/>
        <w:ind w:firstLine="562"/>
        <w:rPr>
          <w:rFonts w:hint="eastAsia"/>
        </w:rPr>
      </w:pPr>
      <w:r>
        <w:rPr>
          <w:rFonts w:hint="eastAsia"/>
          <w:b/>
          <w:bCs/>
        </w:rPr>
        <w:t>（4）垃圾收集设施：</w:t>
      </w:r>
      <w:r>
        <w:rPr>
          <w:rFonts w:hint="eastAsia"/>
        </w:rPr>
        <w:t>垃圾收集设施是指生活垃圾分类设施、垃圾桶、果皮箱等现有生活垃圾收集容器，设施为低值易耗品，建议无偿交由运营单位使用，并负责日常清洁、消杀、维修保养。</w:t>
      </w:r>
    </w:p>
    <w:p w14:paraId="01974E42">
      <w:pPr>
        <w:pStyle w:val="3"/>
        <w:ind w:firstLine="321"/>
      </w:pPr>
      <w:bookmarkStart w:id="19" w:name="_Toc10364"/>
      <w:r>
        <w:rPr>
          <w:rFonts w:hint="eastAsia"/>
        </w:rPr>
        <w:t>（二）</w:t>
      </w:r>
      <w:r>
        <w:t>资产权属</w:t>
      </w:r>
      <w:bookmarkEnd w:id="19"/>
    </w:p>
    <w:p w14:paraId="3590927B">
      <w:pPr>
        <w:pStyle w:val="5"/>
        <w:spacing w:line="336" w:lineRule="auto"/>
        <w:ind w:firstLine="560"/>
        <w:rPr>
          <w:rFonts w:hint="eastAsia"/>
        </w:rPr>
      </w:pPr>
      <w:r>
        <w:t>在合</w:t>
      </w:r>
      <w:r>
        <w:rPr>
          <w:rFonts w:hint="eastAsia"/>
        </w:rPr>
        <w:t>合同</w:t>
      </w:r>
      <w:r>
        <w:t>内，存量资产的所有权不发生变更，运营单位对存量资产维修（包括大中小修理、恢复性修理）和改造后形成的资产，均归政府方所有。</w:t>
      </w:r>
    </w:p>
    <w:p w14:paraId="150F4197">
      <w:pPr>
        <w:pStyle w:val="5"/>
        <w:spacing w:line="336" w:lineRule="auto"/>
        <w:ind w:firstLine="560"/>
        <w:rPr>
          <w:rFonts w:hint="eastAsia"/>
        </w:rPr>
      </w:pPr>
      <w:r>
        <w:t>运营单位拥有公共运维服务项目的占有权，使用权，收益权，处置权仍归属实施机构。合作期届满后，</w:t>
      </w:r>
      <w:r>
        <w:rPr>
          <w:rFonts w:hint="eastAsia"/>
        </w:rPr>
        <w:t>交还</w:t>
      </w:r>
      <w:r>
        <w:t>给政府方</w:t>
      </w:r>
      <w:r>
        <w:rPr>
          <w:rFonts w:hint="eastAsia"/>
        </w:rPr>
        <w:t>。</w:t>
      </w:r>
    </w:p>
    <w:p w14:paraId="5559D4A1">
      <w:pPr>
        <w:pStyle w:val="5"/>
        <w:spacing w:line="336" w:lineRule="auto"/>
        <w:ind w:firstLine="560"/>
        <w:rPr>
          <w:rFonts w:hint="eastAsia"/>
        </w:rPr>
      </w:pPr>
      <w:r>
        <w:rPr>
          <w:rFonts w:hint="eastAsia"/>
        </w:rPr>
        <w:t>运营单位投资购置、带入的车辆设备权属归运营单位所有。</w:t>
      </w:r>
    </w:p>
    <w:p w14:paraId="3D49B905">
      <w:pPr>
        <w:pStyle w:val="3"/>
        <w:ind w:firstLine="321"/>
      </w:pPr>
      <w:bookmarkStart w:id="20" w:name="_Toc192687272"/>
      <w:bookmarkStart w:id="21" w:name="_Toc193993355"/>
      <w:bookmarkStart w:id="22" w:name="_Toc18501"/>
      <w:r>
        <w:rPr>
          <w:rFonts w:hint="eastAsia"/>
        </w:rPr>
        <w:t>（三）</w:t>
      </w:r>
      <w:r>
        <w:t>资产限制</w:t>
      </w:r>
      <w:bookmarkEnd w:id="20"/>
      <w:bookmarkEnd w:id="21"/>
      <w:bookmarkEnd w:id="22"/>
    </w:p>
    <w:p w14:paraId="0A975C8F">
      <w:pPr>
        <w:pStyle w:val="16"/>
        <w:spacing w:after="0" w:line="336" w:lineRule="auto"/>
        <w:ind w:firstLine="560" w:firstLineChars="200"/>
        <w:rPr>
          <w:rFonts w:hint="eastAsia"/>
        </w:rPr>
      </w:pPr>
      <w:r>
        <w:rPr>
          <w:rFonts w:hint="eastAsia" w:ascii="宋体" w:hAnsi="宋体" w:eastAsia="仿宋_GB2312" w:cs="Calibri"/>
        </w:rPr>
        <w:t>合同</w:t>
      </w:r>
      <w:r>
        <w:rPr>
          <w:rFonts w:ascii="宋体" w:hAnsi="宋体" w:eastAsia="仿宋_GB2312" w:cs="Calibri"/>
        </w:rPr>
        <w:t>期内，本项目</w:t>
      </w:r>
      <w:r>
        <w:rPr>
          <w:rFonts w:hint="eastAsia" w:ascii="宋体" w:hAnsi="宋体" w:eastAsia="仿宋_GB2312" w:cs="Calibri"/>
        </w:rPr>
        <w:t>移交给运营单位的设施设备</w:t>
      </w:r>
      <w:r>
        <w:rPr>
          <w:rFonts w:ascii="宋体" w:hAnsi="宋体" w:eastAsia="仿宋_GB2312" w:cs="Calibri"/>
        </w:rPr>
        <w:t>（包括但不限于环卫车辆、工器具等）只能专用于本项目。运营单位不得以出租、转包、分包等方式处置项目设施，且不得对项目设施以抵押、质押或其他方式设定权利负担。</w:t>
      </w:r>
    </w:p>
    <w:p w14:paraId="255424F6">
      <w:pPr>
        <w:pStyle w:val="2"/>
      </w:pPr>
      <w:bookmarkStart w:id="23" w:name="_Toc16062"/>
      <w:r>
        <w:rPr>
          <w:rFonts w:hint="eastAsia"/>
        </w:rPr>
        <w:t>四、托里县市政、环卫运营目前面临的痛点难点</w:t>
      </w:r>
      <w:bookmarkEnd w:id="23"/>
    </w:p>
    <w:p w14:paraId="524F0F4D">
      <w:pPr>
        <w:pStyle w:val="5"/>
        <w:ind w:firstLine="560"/>
        <w:rPr>
          <w:rFonts w:hint="eastAsia" w:ascii="仿宋_GB2312"/>
          <w:szCs w:val="28"/>
        </w:rPr>
      </w:pPr>
      <w:r>
        <w:rPr>
          <w:rFonts w:hint="eastAsia" w:ascii="仿宋_GB2312"/>
          <w:szCs w:val="28"/>
        </w:rPr>
        <w:t>结合托里县市政环卫一体化服务项目实际情况，当前城市公共服务能力仅能基本满足现阶段城市发展及居民生活的基础需求。随着托里县城市建设持续推进、居民生活水平不断提升，群众对城市公共服务的管理效能、服务品质提出了更高标准、更严要求。但受现有公共服务软硬件条件的制约，当前服务水平难以实现进一步提质升级，具体短板主要体现在以下八个方面：</w:t>
      </w:r>
    </w:p>
    <w:p w14:paraId="4D06C800">
      <w:pPr>
        <w:pStyle w:val="5"/>
        <w:ind w:firstLine="560"/>
        <w:rPr>
          <w:rFonts w:hint="eastAsia" w:ascii="仿宋_GB2312"/>
          <w:szCs w:val="28"/>
        </w:rPr>
      </w:pPr>
      <w:r>
        <w:rPr>
          <w:rFonts w:hint="eastAsia" w:ascii="仿宋_GB2312"/>
          <w:b/>
          <w:bCs/>
          <w:szCs w:val="28"/>
        </w:rPr>
        <w:t>（一）管理模式滞后，管干未分离。</w:t>
      </w:r>
      <w:r>
        <w:rPr>
          <w:rFonts w:hint="eastAsia" w:ascii="仿宋_GB2312"/>
          <w:szCs w:val="28"/>
        </w:rPr>
        <w:t>目前仍处于“既是裁判员、又是运动员”的传统管理状态，日常监管力度不足、标准要求偏低、考核机制不严格，作业目标不明确，缺乏有效的考核竞争机制，导致管理层面、作业层面均存在疲劳状态，未能建立起长效化、规范化的管理机制。</w:t>
      </w:r>
    </w:p>
    <w:p w14:paraId="63302B48">
      <w:pPr>
        <w:pStyle w:val="5"/>
        <w:ind w:firstLine="560"/>
        <w:rPr>
          <w:rFonts w:hint="eastAsia" w:ascii="仿宋_GB2312"/>
          <w:szCs w:val="28"/>
        </w:rPr>
      </w:pPr>
      <w:r>
        <w:rPr>
          <w:rFonts w:hint="eastAsia" w:ascii="仿宋_GB2312"/>
          <w:b/>
          <w:bCs/>
          <w:szCs w:val="28"/>
        </w:rPr>
        <w:t>（二）资本渠道单一，财政负担加重。</w:t>
      </w:r>
      <w:r>
        <w:rPr>
          <w:rFonts w:hint="eastAsia" w:ascii="仿宋_GB2312"/>
          <w:szCs w:val="28"/>
        </w:rPr>
        <w:t>城市基础设施及各类作业设备的维护、更新成本逐年攀升，但缺乏多元化社会资本引入渠道，资源利用效率不高，导致政府财政投入压力持续加大，难以支撑服务品质的持续提升。</w:t>
      </w:r>
    </w:p>
    <w:p w14:paraId="7BBE00FC">
      <w:pPr>
        <w:pStyle w:val="5"/>
        <w:ind w:firstLine="560"/>
        <w:rPr>
          <w:rFonts w:hint="eastAsia" w:ascii="仿宋_GB2312"/>
          <w:szCs w:val="28"/>
        </w:rPr>
      </w:pPr>
      <w:r>
        <w:rPr>
          <w:rFonts w:hint="eastAsia" w:ascii="仿宋_GB2312"/>
          <w:b/>
          <w:bCs/>
          <w:szCs w:val="28"/>
        </w:rPr>
        <w:t>（三）队伍管理僵化，服务效能不足。</w:t>
      </w:r>
      <w:r>
        <w:rPr>
          <w:rFonts w:hint="eastAsia" w:ascii="仿宋_GB2312"/>
          <w:szCs w:val="28"/>
        </w:rPr>
        <w:t>在事业体制下，工作人员队伍存在“易增难减”的问题，缺乏高效的激励机制与淘汰机制，一线作业人员缺乏工作紧迫感和积极性，导致管理成本逐年增加，而公共服务质量却未能同步提升。</w:t>
      </w:r>
    </w:p>
    <w:p w14:paraId="5EC779B4">
      <w:pPr>
        <w:pStyle w:val="5"/>
        <w:ind w:firstLine="560"/>
        <w:rPr>
          <w:rFonts w:hint="eastAsia" w:ascii="仿宋_GB2312"/>
          <w:szCs w:val="28"/>
        </w:rPr>
      </w:pPr>
      <w:r>
        <w:rPr>
          <w:rFonts w:hint="eastAsia" w:ascii="仿宋_GB2312"/>
          <w:b/>
          <w:bCs/>
          <w:szCs w:val="28"/>
        </w:rPr>
        <w:t>（四）专业支撑薄弱，创新能力不足。</w:t>
      </w:r>
      <w:r>
        <w:rPr>
          <w:rFonts w:hint="eastAsia" w:ascii="仿宋_GB2312"/>
          <w:szCs w:val="28"/>
        </w:rPr>
        <w:t>缺乏高效的经验交流平台，专业人才、先进技术引进力度不够，公共服务品质与管理水平的更新升级速度，难以跟上群众日益增长的期望。</w:t>
      </w:r>
    </w:p>
    <w:p w14:paraId="3398F531">
      <w:pPr>
        <w:pStyle w:val="5"/>
        <w:ind w:firstLine="560"/>
        <w:rPr>
          <w:rFonts w:hint="eastAsia" w:ascii="仿宋_GB2312"/>
          <w:szCs w:val="28"/>
        </w:rPr>
      </w:pPr>
      <w:r>
        <w:rPr>
          <w:rFonts w:hint="eastAsia" w:ascii="仿宋_GB2312"/>
          <w:b/>
          <w:bCs/>
          <w:szCs w:val="28"/>
        </w:rPr>
        <w:t>（五）管理层级冗余，资源投入失衡。</w:t>
      </w:r>
      <w:r>
        <w:rPr>
          <w:rFonts w:hint="eastAsia" w:ascii="仿宋_GB2312"/>
          <w:szCs w:val="28"/>
        </w:rPr>
        <w:t>管理层级过多，编制人员相关费用逐年上涨，导致一线作业的人力、物力、财力投入被稀释，对作业质量和公共服务品质的提升支撑作用弱化。</w:t>
      </w:r>
    </w:p>
    <w:p w14:paraId="1FE779C0">
      <w:pPr>
        <w:pStyle w:val="5"/>
        <w:ind w:firstLine="560"/>
        <w:rPr>
          <w:rFonts w:hint="eastAsia" w:ascii="仿宋_GB2312"/>
          <w:szCs w:val="28"/>
        </w:rPr>
      </w:pPr>
      <w:r>
        <w:rPr>
          <w:rFonts w:hint="eastAsia" w:ascii="仿宋_GB2312"/>
          <w:b/>
          <w:bCs/>
          <w:szCs w:val="28"/>
        </w:rPr>
        <w:t>（六）部门职能交叉，协调效率偏低。</w:t>
      </w:r>
      <w:r>
        <w:rPr>
          <w:rFonts w:hint="eastAsia" w:ascii="仿宋_GB2312"/>
          <w:szCs w:val="28"/>
        </w:rPr>
        <w:t>管理部门分工交错、职能边界重叠，办事流程繁琐冗余，易出现执行协调困难、责任划分模糊的问题，影响整体服务效率。</w:t>
      </w:r>
    </w:p>
    <w:p w14:paraId="5EB658DD">
      <w:pPr>
        <w:pStyle w:val="5"/>
        <w:ind w:firstLine="560"/>
        <w:rPr>
          <w:rFonts w:hint="eastAsia" w:ascii="仿宋_GB2312"/>
          <w:szCs w:val="28"/>
        </w:rPr>
      </w:pPr>
      <w:r>
        <w:rPr>
          <w:rFonts w:hint="eastAsia" w:ascii="仿宋_GB2312"/>
          <w:b/>
          <w:bCs/>
          <w:szCs w:val="28"/>
        </w:rPr>
        <w:t>（七）设备老化落后，作业保障不足。</w:t>
      </w:r>
      <w:r>
        <w:rPr>
          <w:rFonts w:hint="eastAsia" w:ascii="仿宋_GB2312"/>
          <w:szCs w:val="28"/>
        </w:rPr>
        <w:t>各类专业作业设备使用年限较长、技术落后、老化严重，已无法满足现代环卫作业的标准要求，不仅影响作业效率、降低作业质量，还增加了设备使用风险和日常维修成本。</w:t>
      </w:r>
    </w:p>
    <w:p w14:paraId="0F0B2B5E">
      <w:pPr>
        <w:pStyle w:val="5"/>
        <w:ind w:firstLine="560"/>
        <w:rPr>
          <w:rFonts w:hint="eastAsia" w:ascii="仿宋_GB2312"/>
          <w:szCs w:val="28"/>
        </w:rPr>
      </w:pPr>
      <w:r>
        <w:rPr>
          <w:rFonts w:hint="eastAsia" w:ascii="仿宋_GB2312"/>
          <w:b/>
          <w:bCs/>
          <w:szCs w:val="28"/>
        </w:rPr>
        <w:t>（八）垃圾收集不规范，适配性不足。</w:t>
      </w:r>
      <w:r>
        <w:rPr>
          <w:rFonts w:hint="eastAsia" w:ascii="仿宋_GB2312"/>
          <w:szCs w:val="28"/>
        </w:rPr>
        <w:t>垃圾收集设备较为落后，不符合国家垃圾分类对收集容器在颜色、图形符号、设置规范等方面的要求，将对托里县未来垃圾分类推进、创文创卫等重点工作造成不利影响。</w:t>
      </w:r>
    </w:p>
    <w:p w14:paraId="27CB8CC3">
      <w:pPr>
        <w:pStyle w:val="5"/>
        <w:ind w:firstLine="560"/>
        <w:rPr>
          <w:rFonts w:hint="eastAsia"/>
          <w:szCs w:val="28"/>
        </w:rPr>
      </w:pPr>
      <w:r>
        <w:rPr>
          <w:rFonts w:hint="eastAsia" w:ascii="仿宋_GB2312"/>
          <w:szCs w:val="28"/>
        </w:rPr>
        <w:t>针对上述托里县城市公共服务领域存在的痛点难点问题，结合项目实际现状，综合参考周边地区环卫服务市场化运作的成功经验，充分依托市场化运作在资源配置、效率提升、专业赋能等方面的诸多优势，建议本项目采用市场化运营模式推进实施，从根本上破解现有发展瓶颈。</w:t>
      </w:r>
    </w:p>
    <w:p w14:paraId="3D698F38">
      <w:pPr>
        <w:pStyle w:val="2"/>
      </w:pPr>
      <w:bookmarkStart w:id="24" w:name="_Toc3394"/>
      <w:r>
        <w:rPr>
          <w:rFonts w:hint="eastAsia"/>
        </w:rPr>
        <w:t>五、市场化的利好</w:t>
      </w:r>
      <w:bookmarkEnd w:id="24"/>
    </w:p>
    <w:p w14:paraId="57A82327">
      <w:pPr>
        <w:pStyle w:val="3"/>
        <w:ind w:firstLine="321"/>
      </w:pPr>
      <w:bookmarkStart w:id="25" w:name="_Toc12700"/>
      <w:r>
        <w:rPr>
          <w:rFonts w:hint="eastAsia"/>
        </w:rPr>
        <w:t>（一）有利于行政职能精准定位</w:t>
      </w:r>
      <w:bookmarkEnd w:id="25"/>
    </w:p>
    <w:p w14:paraId="18303972">
      <w:pPr>
        <w:ind w:firstLine="560" w:firstLineChars="200"/>
        <w:rPr>
          <w:rFonts w:hint="eastAsia" w:ascii="仿宋_GB2312" w:hAnsi="宋体" w:eastAsia="仿宋_GB2312"/>
          <w:szCs w:val="28"/>
        </w:rPr>
      </w:pPr>
      <w:r>
        <w:rPr>
          <w:rFonts w:hint="eastAsia" w:ascii="仿宋_GB2312" w:hAnsi="宋体" w:eastAsia="仿宋_GB2312"/>
          <w:szCs w:val="28"/>
        </w:rPr>
        <w:t>“管-干”合一的机制，容易让政府主管部门的工作重心倾向于应付“干”日常事务性工作，而忽略或无暇顾及城市发展过程中的“管”理职责，弱化了行政执法或管理效能。</w:t>
      </w:r>
    </w:p>
    <w:p w14:paraId="31A7D99D">
      <w:pPr>
        <w:ind w:firstLine="560" w:firstLineChars="200"/>
        <w:rPr>
          <w:rFonts w:hint="eastAsia" w:ascii="仿宋_GB2312" w:hAnsi="宋体" w:eastAsia="仿宋_GB2312"/>
          <w:szCs w:val="28"/>
        </w:rPr>
      </w:pPr>
      <w:r>
        <w:rPr>
          <w:rFonts w:hint="eastAsia" w:ascii="仿宋_GB2312" w:hAnsi="宋体" w:eastAsia="仿宋_GB2312"/>
          <w:szCs w:val="28"/>
        </w:rPr>
        <w:t>通过实施市场化，强化政府主管部门行政“管”理职能，通过专注分析监督和考核过程中发现的问题，提升对城市建设发展长远的深层次思考和规划，实现政府引导、社会参与、市场运作的新格局。</w:t>
      </w:r>
    </w:p>
    <w:p w14:paraId="666F7DD6">
      <w:pPr>
        <w:pStyle w:val="3"/>
        <w:ind w:firstLine="321"/>
      </w:pPr>
      <w:bookmarkStart w:id="26" w:name="_Toc25546"/>
      <w:r>
        <w:rPr>
          <w:rFonts w:hint="eastAsia"/>
        </w:rPr>
        <w:t>（二）有利于质量评价标准的统一</w:t>
      </w:r>
      <w:bookmarkEnd w:id="26"/>
    </w:p>
    <w:p w14:paraId="1A1B6661">
      <w:pPr>
        <w:ind w:firstLine="560" w:firstLineChars="200"/>
        <w:rPr>
          <w:rFonts w:hint="eastAsia" w:ascii="仿宋_GB2312" w:hAnsi="宋体" w:eastAsia="仿宋_GB2312"/>
          <w:szCs w:val="28"/>
        </w:rPr>
      </w:pPr>
      <w:r>
        <w:rPr>
          <w:rFonts w:hint="eastAsia" w:ascii="仿宋_GB2312" w:hAnsi="宋体" w:eastAsia="仿宋_GB2312"/>
          <w:szCs w:val="28"/>
        </w:rPr>
        <w:t>在原有的组织架构和运行机制上，主管部门既是监督者，又是执行者。监督和执行是同一个主体，这样的管理机制势必会导致效果评价受“人情”、“关系”等主观因素的影响，从而无法客观、真实的反映实际问题和质量水平的高低。</w:t>
      </w:r>
    </w:p>
    <w:p w14:paraId="7BC8E60D">
      <w:pPr>
        <w:ind w:firstLine="560" w:firstLineChars="200"/>
        <w:rPr>
          <w:rFonts w:hint="eastAsia" w:ascii="仿宋_GB2312" w:hAnsi="宋体" w:eastAsia="仿宋_GB2312"/>
          <w:szCs w:val="28"/>
        </w:rPr>
      </w:pPr>
      <w:r>
        <w:rPr>
          <w:rFonts w:hint="eastAsia" w:ascii="仿宋_GB2312" w:hAnsi="宋体" w:eastAsia="仿宋_GB2312"/>
          <w:szCs w:val="28"/>
        </w:rPr>
        <w:t>通过实施市场化，利用合同条款“量化”作业质量和考核标准，有利于主管部门更加直接、准确的实施监督、考核职责，让评价体系和结果得以客观、统一，从而促进公共服务质量提升。</w:t>
      </w:r>
    </w:p>
    <w:p w14:paraId="6D96A80E">
      <w:pPr>
        <w:pStyle w:val="3"/>
        <w:ind w:firstLine="321"/>
      </w:pPr>
      <w:bookmarkStart w:id="27" w:name="_Toc17086"/>
      <w:r>
        <w:rPr>
          <w:rFonts w:hint="eastAsia"/>
        </w:rPr>
        <w:t>（三）有利于政府财政预算总额控制</w:t>
      </w:r>
      <w:bookmarkEnd w:id="27"/>
    </w:p>
    <w:p w14:paraId="6C8B94A5">
      <w:pPr>
        <w:ind w:firstLine="560" w:firstLineChars="200"/>
        <w:rPr>
          <w:rFonts w:hint="eastAsia" w:ascii="仿宋_GB2312" w:hAnsi="宋体" w:eastAsia="仿宋_GB2312"/>
          <w:szCs w:val="28"/>
        </w:rPr>
      </w:pPr>
      <w:r>
        <w:rPr>
          <w:rFonts w:hint="eastAsia" w:ascii="仿宋_GB2312" w:hAnsi="宋体" w:eastAsia="仿宋_GB2312"/>
          <w:szCs w:val="28"/>
        </w:rPr>
        <w:t>政府通过市场化服务采购的方式，一方面利用市场化竞争机制，保证财政支出费用不超预算期望，或甚有结余；另一方面通过招标合同效力，约束中标企业履行合同约定的服务范围和作业内容，并保证作业质量满足考核标准要求。</w:t>
      </w:r>
    </w:p>
    <w:p w14:paraId="665FD0B7">
      <w:pPr>
        <w:pStyle w:val="3"/>
        <w:ind w:firstLine="321"/>
      </w:pPr>
      <w:bookmarkStart w:id="28" w:name="_Toc3029"/>
      <w:r>
        <w:rPr>
          <w:rFonts w:hint="eastAsia"/>
        </w:rPr>
        <w:t>（四）有利于减轻财政负担</w:t>
      </w:r>
      <w:bookmarkEnd w:id="28"/>
    </w:p>
    <w:p w14:paraId="53FF06EA">
      <w:pPr>
        <w:ind w:firstLine="560" w:firstLineChars="200"/>
        <w:rPr>
          <w:rFonts w:hint="eastAsia" w:ascii="仿宋_GB2312" w:hAnsi="宋体" w:eastAsia="仿宋_GB2312"/>
          <w:szCs w:val="28"/>
        </w:rPr>
      </w:pPr>
      <w:r>
        <w:rPr>
          <w:rFonts w:hint="eastAsia" w:ascii="仿宋_GB2312" w:hAnsi="宋体" w:eastAsia="仿宋_GB2312"/>
          <w:szCs w:val="28"/>
        </w:rPr>
        <w:t>随着城市公共服务质量标准和要求的不断提升，基础设施及机械设备的维护和更新费用随之增长，将持续加大财政支出负担。</w:t>
      </w:r>
    </w:p>
    <w:p w14:paraId="22FCA690">
      <w:pPr>
        <w:ind w:firstLine="560" w:firstLineChars="200"/>
        <w:rPr>
          <w:rFonts w:hint="eastAsia" w:ascii="仿宋_GB2312" w:hAnsi="宋体" w:eastAsia="仿宋_GB2312"/>
          <w:szCs w:val="28"/>
        </w:rPr>
      </w:pPr>
      <w:r>
        <w:rPr>
          <w:rFonts w:hint="eastAsia" w:ascii="仿宋_GB2312" w:hAnsi="宋体" w:eastAsia="仿宋_GB2312"/>
          <w:szCs w:val="28"/>
        </w:rPr>
        <w:t>通过实施市场化，采用中标单位“全包干”的形式，一方面由企业按照合同约定，自行投资承担约定内容的基础设施建设及机械设备的维护和更新费用；另一方面由企业在当地组建项目公司，通过依法缴税反馈，进一步减轻财政负担。</w:t>
      </w:r>
    </w:p>
    <w:p w14:paraId="45FBF8BA">
      <w:pPr>
        <w:pStyle w:val="3"/>
        <w:ind w:firstLine="321"/>
      </w:pPr>
      <w:bookmarkStart w:id="29" w:name="_Toc27494"/>
      <w:r>
        <w:rPr>
          <w:rFonts w:hint="eastAsia"/>
        </w:rPr>
        <w:t>（五）有利于城市管理服务品质提档升级</w:t>
      </w:r>
      <w:bookmarkEnd w:id="29"/>
    </w:p>
    <w:p w14:paraId="4E89C482">
      <w:pPr>
        <w:ind w:firstLine="480" w:firstLineChars="200"/>
        <w:rPr>
          <w:rFonts w:hint="eastAsia" w:ascii="宋体" w:hAnsi="宋体" w:eastAsia="宋体"/>
          <w:sz w:val="24"/>
        </w:rPr>
      </w:pPr>
      <w:r>
        <w:rPr>
          <w:rFonts w:hint="eastAsia" w:ascii="宋体" w:hAnsi="宋体" w:eastAsia="宋体"/>
          <w:sz w:val="24"/>
        </w:rPr>
        <w:t>随着城市管理服务市场化不断向纵深多年的发展，行业标准和管理要求不断提升和规范。通过引入专业技术人才和管理团队，有利于城市精细化管理经验的交流，促进符合我县特色城市管理服务思路的创新，助力城市管理服务品质提档升级。</w:t>
      </w:r>
    </w:p>
    <w:p w14:paraId="58C3859F">
      <w:pPr>
        <w:pStyle w:val="3"/>
        <w:ind w:firstLine="321"/>
      </w:pPr>
      <w:bookmarkStart w:id="30" w:name="_Toc5666"/>
      <w:r>
        <w:rPr>
          <w:rFonts w:hint="eastAsia"/>
        </w:rPr>
        <w:t>（六）有利于矛盾转换和风险转移</w:t>
      </w:r>
      <w:bookmarkEnd w:id="30"/>
    </w:p>
    <w:p w14:paraId="78A3932A">
      <w:pPr>
        <w:ind w:firstLine="560" w:firstLineChars="200"/>
        <w:rPr>
          <w:rFonts w:hint="eastAsia" w:ascii="仿宋_GB2312" w:hAnsi="宋体" w:eastAsia="仿宋_GB2312"/>
          <w:szCs w:val="28"/>
        </w:rPr>
      </w:pPr>
      <w:r>
        <w:rPr>
          <w:rFonts w:hint="eastAsia" w:ascii="仿宋_GB2312" w:hAnsi="宋体" w:eastAsia="仿宋_GB2312"/>
          <w:szCs w:val="28"/>
        </w:rPr>
        <w:t>通过推行城市管理服务市场化，由企业与一线环卫工人建立劳动关系，让“民生问题”转变为“经济问题”，减少社会矛盾。同时，对实施过程中涉及的生产安全、市民投诉及法律纠纷等问题，通过主体关系的转换，让政府从“当事人”角色转变为“裁判者”角色，起到风险转移和矛盾化解的作用。</w:t>
      </w:r>
    </w:p>
    <w:p w14:paraId="6670474D">
      <w:pPr>
        <w:pStyle w:val="3"/>
        <w:ind w:firstLine="321"/>
      </w:pPr>
      <w:bookmarkStart w:id="31" w:name="_Toc3027"/>
      <w:r>
        <w:rPr>
          <w:rFonts w:hint="eastAsia"/>
        </w:rPr>
        <w:t>（七）有利于分配制度优化和作业效率提升</w:t>
      </w:r>
      <w:bookmarkEnd w:id="31"/>
    </w:p>
    <w:p w14:paraId="7B2D298C">
      <w:pPr>
        <w:ind w:firstLine="560" w:firstLineChars="200"/>
        <w:rPr>
          <w:rFonts w:hint="eastAsia" w:ascii="仿宋_GB2312" w:hAnsi="宋体" w:eastAsia="仿宋_GB2312"/>
          <w:szCs w:val="28"/>
        </w:rPr>
      </w:pPr>
      <w:r>
        <w:rPr>
          <w:rFonts w:hint="eastAsia" w:ascii="仿宋_GB2312" w:hAnsi="宋体" w:eastAsia="仿宋_GB2312"/>
          <w:szCs w:val="28"/>
        </w:rPr>
        <w:t>通过引入市场化运营机制，弱化“吃皇粮”意识和“铁饭碗”思想，薪酬回报由“按人付酬”变为“按质按量付酬”，利用企业经营灵活的激励机制，调动员工队伍执行力和积极性，去除“吃大锅饭”现象，让真正的劳动者得到对应的回报，优化分配制度，提升作业效率。</w:t>
      </w:r>
    </w:p>
    <w:p w14:paraId="7C451D22">
      <w:pPr>
        <w:pStyle w:val="3"/>
        <w:ind w:firstLine="321"/>
      </w:pPr>
      <w:bookmarkStart w:id="32" w:name="_Toc4741"/>
      <w:r>
        <w:rPr>
          <w:rFonts w:hint="eastAsia"/>
        </w:rPr>
        <w:t>（八）有利于吸引社会资本投入，助力城市建设发展</w:t>
      </w:r>
      <w:bookmarkEnd w:id="32"/>
    </w:p>
    <w:p w14:paraId="479EBF7E">
      <w:pPr>
        <w:ind w:firstLine="560" w:firstLineChars="200"/>
        <w:rPr>
          <w:rFonts w:hint="eastAsia" w:ascii="宋体" w:hAnsi="宋体" w:eastAsia="宋体"/>
          <w:sz w:val="24"/>
        </w:rPr>
      </w:pPr>
      <w:r>
        <w:rPr>
          <w:rFonts w:hint="eastAsia" w:ascii="仿宋_GB2312" w:hAnsi="宋体" w:eastAsia="仿宋_GB2312"/>
          <w:szCs w:val="28"/>
        </w:rPr>
        <w:t>政府通过采购市场化服务，有利于吸引社会资本进入，完善基础设施建设，缓解地方政府财力不足现象，有利于未来城乡环卫一体化的推进，助力城市发展</w:t>
      </w:r>
      <w:r>
        <w:rPr>
          <w:rFonts w:hint="eastAsia" w:ascii="宋体" w:hAnsi="宋体" w:eastAsia="宋体"/>
          <w:sz w:val="24"/>
        </w:rPr>
        <w:t>更新。</w:t>
      </w:r>
    </w:p>
    <w:p w14:paraId="172AEA15">
      <w:pPr>
        <w:pStyle w:val="3"/>
        <w:ind w:firstLine="321"/>
      </w:pPr>
      <w:bookmarkStart w:id="33" w:name="_Toc10959"/>
      <w:r>
        <w:rPr>
          <w:rFonts w:hint="eastAsia"/>
        </w:rPr>
        <w:t>（九）推进环卫市场化改革，建立长效管理机制</w:t>
      </w:r>
      <w:bookmarkEnd w:id="33"/>
    </w:p>
    <w:p w14:paraId="176AAEB2">
      <w:pPr>
        <w:ind w:firstLine="560" w:firstLineChars="200"/>
        <w:rPr>
          <w:rFonts w:hint="eastAsia" w:ascii="仿宋_GB2312" w:hAnsi="宋体" w:eastAsia="仿宋_GB2312"/>
          <w:szCs w:val="28"/>
        </w:rPr>
      </w:pPr>
      <w:r>
        <w:rPr>
          <w:rFonts w:hint="eastAsia" w:ascii="仿宋_GB2312" w:hAnsi="宋体" w:eastAsia="仿宋_GB2312"/>
          <w:szCs w:val="28"/>
        </w:rPr>
        <w:t>在总结实践经验的基础上，将服务范围逐步延伸至小区物业领域，切实解决三无小区、弃管小区的管理难题。同时以环卫业务为核心支撑，稳步向 “城市大管家” 模式转型，从根本上提升城市公共服务质量与城市品位。</w:t>
      </w:r>
    </w:p>
    <w:p w14:paraId="77CF9A9C">
      <w:pPr>
        <w:pStyle w:val="3"/>
        <w:ind w:firstLine="321"/>
      </w:pPr>
      <w:bookmarkStart w:id="34" w:name="_Toc29120"/>
      <w:r>
        <w:rPr>
          <w:rFonts w:hint="eastAsia"/>
        </w:rPr>
        <w:t>（十）有利于社会宣传和群众参与</w:t>
      </w:r>
      <w:bookmarkEnd w:id="34"/>
    </w:p>
    <w:p w14:paraId="44542E80">
      <w:pPr>
        <w:ind w:firstLine="560" w:firstLineChars="200"/>
        <w:rPr>
          <w:rFonts w:hint="eastAsia" w:ascii="仿宋_GB2312" w:hAnsi="宋体" w:eastAsia="仿宋_GB2312"/>
          <w:sz w:val="24"/>
        </w:rPr>
      </w:pPr>
      <w:r>
        <w:rPr>
          <w:rFonts w:hint="eastAsia" w:ascii="仿宋_GB2312" w:hAnsi="宋体" w:eastAsia="仿宋_GB2312"/>
          <w:szCs w:val="28"/>
        </w:rPr>
        <w:t>加强社会宣传和氛围营造，通过对服务不到位、作业不彻底等现象采取媒体曝光、通报批评、经济处罚或解除协议等方式，丰富政府监管渠道，督促企业加强内部管理，不断提升服务质量。同时，让广大群众参与指导、评议和督导，增强城市主人翁意识，共同推进城市管理服务深入、扎实、有效的进行。</w:t>
      </w:r>
    </w:p>
    <w:p w14:paraId="1CBFDBC5">
      <w:pPr>
        <w:pStyle w:val="2"/>
      </w:pPr>
      <w:bookmarkStart w:id="35" w:name="_Toc28336"/>
      <w:r>
        <w:rPr>
          <w:rFonts w:hint="eastAsia"/>
        </w:rPr>
        <w:t>六、市场化模式分析</w:t>
      </w:r>
      <w:bookmarkEnd w:id="35"/>
    </w:p>
    <w:p w14:paraId="6DE56D66">
      <w:pPr>
        <w:pStyle w:val="5"/>
        <w:ind w:firstLine="560"/>
        <w:rPr>
          <w:rFonts w:hint="eastAsia" w:ascii="仿宋_GB2312"/>
          <w:szCs w:val="28"/>
        </w:rPr>
      </w:pPr>
      <w:r>
        <w:rPr>
          <w:rFonts w:hint="eastAsia" w:ascii="仿宋_GB2312"/>
          <w:szCs w:val="28"/>
        </w:rPr>
        <w:t>当前环卫市场化运营主要有服务模式与政府购买服务模式两种核心类型，结合托里县项目实际（设备老化、财政压力大、管干未分离等痛点），重点围绕两种模式的核心内涵、关键特征、优劣势展开全面分析对比，重点突出政府购买服务模式的适配性与优势，为项目模式选择提供科学、贴合实际的依据，具体对比如下：</w:t>
      </w:r>
    </w:p>
    <w:p w14:paraId="158ED8D5">
      <w:pPr>
        <w:pStyle w:val="3"/>
        <w:ind w:firstLine="321"/>
      </w:pPr>
      <w:bookmarkStart w:id="36" w:name="_Toc16132"/>
      <w:r>
        <w:rPr>
          <w:rFonts w:hint="eastAsia"/>
        </w:rPr>
        <w:t>（一）两种模式的概念界定与适用范围</w:t>
      </w:r>
      <w:bookmarkEnd w:id="36"/>
    </w:p>
    <w:p w14:paraId="3644F02A">
      <w:pPr>
        <w:pStyle w:val="4"/>
        <w:rPr>
          <w:rFonts w:hint="eastAsia"/>
        </w:rPr>
      </w:pPr>
      <w:bookmarkStart w:id="37" w:name="_Toc848"/>
      <w:r>
        <w:rPr>
          <w:rFonts w:hint="eastAsia"/>
        </w:rPr>
        <w:t>1</w:t>
      </w:r>
      <w:r>
        <w:t>、政府购买服务模式</w:t>
      </w:r>
      <w:bookmarkEnd w:id="37"/>
    </w:p>
    <w:p w14:paraId="6DE0B0E6">
      <w:pPr>
        <w:pStyle w:val="5"/>
        <w:ind w:firstLine="560"/>
        <w:rPr>
          <w:rFonts w:hint="eastAsia" w:ascii="仿宋_GB2312"/>
          <w:szCs w:val="28"/>
        </w:rPr>
      </w:pPr>
      <w:r>
        <w:rPr>
          <w:rFonts w:hint="eastAsia" w:ascii="仿宋_GB2312"/>
          <w:szCs w:val="28"/>
        </w:rPr>
        <w:t>根据财政部《政府购买服务管理办法》（2020年3月1日施行），政府购买服务是指各级国家机关将属于自身职责范围且适合通过市场化方式提供的服务事项，按照政府采购方式和程序，交由符合条件的服务供应商承担，并根据服务数量和质量等因素向其支付费用的行为。</w:t>
      </w:r>
    </w:p>
    <w:p w14:paraId="329095D4">
      <w:pPr>
        <w:pStyle w:val="5"/>
        <w:ind w:firstLine="560"/>
        <w:rPr>
          <w:rFonts w:hint="eastAsia" w:ascii="仿宋_GB2312"/>
          <w:szCs w:val="28"/>
        </w:rPr>
      </w:pPr>
      <w:r>
        <w:rPr>
          <w:rFonts w:hint="eastAsia" w:ascii="仿宋_GB2312"/>
          <w:szCs w:val="28"/>
        </w:rPr>
        <w:t>在环卫领域，不涉及工程建设类的环卫一体化项目，如道路清扫保洁、垃圾清运、环卫设施管养等，可采用政府购买服务方式运作。政府购买服务模式遵循“预算约束、以事定费、公开择优、诚实信用、讲求绩效”原则。</w:t>
      </w:r>
    </w:p>
    <w:p w14:paraId="04BCDA79">
      <w:pPr>
        <w:pStyle w:val="4"/>
        <w:rPr>
          <w:rFonts w:hint="eastAsia"/>
          <w:lang w:val="en-US" w:eastAsia="zh-CN"/>
        </w:rPr>
      </w:pPr>
      <w:bookmarkStart w:id="38" w:name="_Toc13959"/>
      <w:r>
        <w:rPr>
          <w:rFonts w:hint="eastAsia"/>
          <w:lang w:val="en-US" w:eastAsia="zh-CN"/>
        </w:rPr>
        <w:t>2、特许经营模式</w:t>
      </w:r>
      <w:bookmarkEnd w:id="38"/>
    </w:p>
    <w:p w14:paraId="027C2914">
      <w:pPr>
        <w:pStyle w:val="5"/>
        <w:ind w:firstLine="560"/>
        <w:rPr>
          <w:rFonts w:hint="eastAsia" w:ascii="仿宋_GB2312" w:eastAsia="仿宋_GB2312"/>
          <w:szCs w:val="28"/>
          <w:lang w:val="en-US" w:eastAsia="zh-CN"/>
        </w:rPr>
      </w:pPr>
      <w:r>
        <w:rPr>
          <w:rFonts w:hint="eastAsia" w:ascii="仿宋_GB2312"/>
          <w:szCs w:val="28"/>
        </w:rPr>
        <w:t>特许经营是指政府依照有关法律、法规规定，选择特许经营者，在特定范围和期限内经营某项产品或者提供某项服务。根据2024年4月六部门联合发布的新修订《基础设施和公用事业特许经营管理办法》及2024年12月国家发改委《关于进一步做好政府和社会资本合作新机制项目规范实施工作的通知》（发改办投资〔2024〕1013号），特许经营是基于使用者付费的政府和社会资本合作（PPP）模式，不得针对具体项目设定任何保底安排，不得在合同协议中对具体项目作出保底约定或承诺。</w:t>
      </w:r>
    </w:p>
    <w:p w14:paraId="7F898301">
      <w:pPr>
        <w:pStyle w:val="5"/>
        <w:ind w:firstLine="560"/>
        <w:rPr>
          <w:rFonts w:hint="eastAsia" w:ascii="仿宋_GB2312"/>
          <w:szCs w:val="28"/>
        </w:rPr>
      </w:pPr>
      <w:r>
        <w:rPr>
          <w:rFonts w:hint="eastAsia" w:ascii="仿宋_GB2312"/>
          <w:szCs w:val="28"/>
        </w:rPr>
        <w:t>在环卫领域，仅涉及工程建设且具有稳定使用者付费收入的项目（如垃圾焚烧发电、餐厨垃圾处理等末端设施）方可适用特许经营模式。前端道路清扫保洁、垃圾清运等不涉及固定资产投资或无经营收入的项目，明确不得采取特许经营模式。</w:t>
      </w:r>
    </w:p>
    <w:p w14:paraId="3F299501">
      <w:pPr>
        <w:pStyle w:val="3"/>
        <w:ind w:firstLine="321"/>
      </w:pPr>
      <w:bookmarkStart w:id="39" w:name="_Toc31939"/>
      <w:r>
        <w:t>（</w:t>
      </w:r>
      <w:r>
        <w:rPr>
          <w:rFonts w:hint="eastAsia"/>
        </w:rPr>
        <w:t>二</w:t>
      </w:r>
      <w:r>
        <w:t>）模式对比分析</w:t>
      </w:r>
      <w:bookmarkEnd w:id="39"/>
    </w:p>
    <w:p w14:paraId="1859AAC5">
      <w:pPr>
        <w:pStyle w:val="4"/>
        <w:rPr>
          <w:rFonts w:hint="eastAsia"/>
        </w:rPr>
      </w:pPr>
      <w:bookmarkStart w:id="40" w:name="_Toc10715"/>
      <w:r>
        <w:rPr>
          <w:rFonts w:hint="eastAsia"/>
        </w:rPr>
        <w:t>1</w:t>
      </w:r>
      <w:r>
        <w:t>、财政管理机制对比</w:t>
      </w:r>
      <w:bookmarkEnd w:id="40"/>
    </w:p>
    <w:p w14:paraId="07BEDB30">
      <w:pPr>
        <w:pStyle w:val="5"/>
        <w:ind w:firstLine="562"/>
        <w:rPr>
          <w:rFonts w:hint="eastAsia" w:ascii="仿宋_GB2312"/>
          <w:szCs w:val="28"/>
        </w:rPr>
      </w:pPr>
      <w:r>
        <w:rPr>
          <w:rFonts w:hint="eastAsia" w:ascii="仿宋_GB2312"/>
          <w:b/>
          <w:bCs/>
          <w:szCs w:val="28"/>
        </w:rPr>
        <w:t>政府购买服务模式</w:t>
      </w:r>
      <w:r>
        <w:rPr>
          <w:rFonts w:hint="eastAsia" w:ascii="仿宋_GB2312"/>
          <w:szCs w:val="28"/>
        </w:rPr>
        <w:t>纳入财政预算管理体系，具有更强的财政约束力。根据《政府购买服务管理办法》，政府购买服务项目所需资金应当在相关部门预算中统筹安排，并与中期财政规划相衔接，未列入预算的项目不得实施。这一制度设计确保了环卫服务支出与政府年度财力相匹配，避免了隐性债务风险。</w:t>
      </w:r>
    </w:p>
    <w:p w14:paraId="272A74DA">
      <w:pPr>
        <w:pStyle w:val="5"/>
        <w:ind w:firstLine="562"/>
        <w:rPr>
          <w:rFonts w:hint="eastAsia" w:ascii="仿宋_GB2312"/>
          <w:szCs w:val="28"/>
        </w:rPr>
      </w:pPr>
      <w:r>
        <w:rPr>
          <w:rFonts w:hint="eastAsia" w:ascii="仿宋_GB2312"/>
          <w:b/>
          <w:bCs/>
          <w:szCs w:val="28"/>
        </w:rPr>
        <w:t>服务模式</w:t>
      </w:r>
      <w:r>
        <w:rPr>
          <w:rFonts w:hint="eastAsia" w:ascii="仿宋_GB2312"/>
          <w:szCs w:val="28"/>
        </w:rPr>
        <w:t>则要求聚焦使用者付费，且不得额外新增地方财政未来支出责任。然而，环卫前端服务（道路保洁、公厕管养、垃圾分类等）很难实现使用者付费，若直接由地方财政买单，则违背了“不额外新增地方财政未来支出责任”的要求。这一结构性矛盾是当前环卫服务项目频遭废标或终止的根本原因。</w:t>
      </w:r>
    </w:p>
    <w:p w14:paraId="64827D3A">
      <w:pPr>
        <w:pStyle w:val="5"/>
        <w:ind w:firstLine="562"/>
        <w:rPr>
          <w:rFonts w:hint="eastAsia" w:ascii="仿宋_GB2312"/>
          <w:szCs w:val="28"/>
        </w:rPr>
      </w:pPr>
      <w:r>
        <w:rPr>
          <w:rFonts w:hint="eastAsia" w:ascii="仿宋_GB2312"/>
          <w:b/>
          <w:bCs/>
          <w:szCs w:val="28"/>
        </w:rPr>
        <w:t>比较结论</w:t>
      </w:r>
      <w:r>
        <w:rPr>
          <w:rFonts w:hint="eastAsia" w:ascii="仿宋_GB2312"/>
          <w:szCs w:val="28"/>
        </w:rPr>
        <w:t>：政府购买服务模式在财政管理上更加规范透明，支出纳入年度预算、受人大监督，不存在新增隐性债务的制度漏洞；而服务模式在环卫前端服务领域的适用性受到政策严格限制。</w:t>
      </w:r>
    </w:p>
    <w:p w14:paraId="26704A52">
      <w:pPr>
        <w:pStyle w:val="4"/>
        <w:rPr>
          <w:rFonts w:hint="eastAsia"/>
        </w:rPr>
      </w:pPr>
      <w:bookmarkStart w:id="41" w:name="_Toc1245"/>
      <w:r>
        <w:rPr>
          <w:rFonts w:hint="eastAsia"/>
        </w:rPr>
        <w:t>2</w:t>
      </w:r>
      <w:r>
        <w:t>、合规性与政策风险对比</w:t>
      </w:r>
      <w:bookmarkEnd w:id="41"/>
    </w:p>
    <w:p w14:paraId="2D353B24">
      <w:pPr>
        <w:pStyle w:val="5"/>
        <w:ind w:firstLine="560"/>
        <w:rPr>
          <w:rFonts w:hint="eastAsia" w:ascii="仿宋_GB2312"/>
          <w:szCs w:val="28"/>
        </w:rPr>
      </w:pPr>
      <w:r>
        <w:rPr>
          <w:rFonts w:hint="eastAsia" w:ascii="仿宋_GB2312"/>
          <w:szCs w:val="28"/>
        </w:rPr>
        <w:t>近年来，随着115号文和PPP新机制的落地实施，环卫服务模式面临严峻的政策合规挑战。多个刚完成招标的环卫PPP项目不得不提前终止协议，重新招标，涉及金额达数十亿元。在115号文发布后一段时间内，曾密集出现多个项目宣布废标或中止招标。</w:t>
      </w:r>
    </w:p>
    <w:p w14:paraId="0724CB9E">
      <w:pPr>
        <w:pStyle w:val="5"/>
        <w:ind w:firstLine="562"/>
        <w:rPr>
          <w:rFonts w:hint="eastAsia" w:ascii="仿宋_GB2312"/>
          <w:szCs w:val="28"/>
          <w:highlight w:val="none"/>
        </w:rPr>
      </w:pPr>
      <w:r>
        <w:rPr>
          <w:rFonts w:hint="eastAsia" w:ascii="仿宋_GB2312"/>
          <w:b/>
          <w:bCs/>
          <w:szCs w:val="28"/>
          <w:highlight w:val="none"/>
        </w:rPr>
        <w:t>典型案例：</w:t>
      </w:r>
      <w:r>
        <w:rPr>
          <w:rFonts w:hint="eastAsia" w:ascii="仿宋_GB2312"/>
          <w:szCs w:val="28"/>
          <w:highlight w:val="none"/>
        </w:rPr>
        <w:t>河南省许昌市魏都区早在2022年就与地方国企签订了10年期的环卫市场化运营合同，2024年曾试图将其升级转型为服务模式，但受115号文严控，该项目最终未能正式启动招标，最终叫停了服务尝试，转回传统政府购买服务模式。</w:t>
      </w:r>
    </w:p>
    <w:p w14:paraId="4562ABC0">
      <w:pPr>
        <w:pStyle w:val="5"/>
        <w:ind w:firstLine="560"/>
        <w:rPr>
          <w:rFonts w:hint="eastAsia" w:ascii="仿宋_GB2312"/>
          <w:szCs w:val="28"/>
        </w:rPr>
      </w:pPr>
      <w:r>
        <w:rPr>
          <w:rFonts w:hint="eastAsia" w:ascii="仿宋_GB2312"/>
          <w:szCs w:val="28"/>
        </w:rPr>
        <w:t>相比之下，政府购买服务模式的法律框架和操作流程已十分成熟。依据《政府购买服务管理办法》和《政府采购法》，环卫主管部门编制年度预算时将购买服务项目纳入政府采购预算，经财政部门审核、人大审议通过后，方可公开招标确定承接主体。这一流程保障了项目的合法合规性，政策风险显著较低</w:t>
      </w:r>
    </w:p>
    <w:p w14:paraId="25B9494A">
      <w:pPr>
        <w:pStyle w:val="4"/>
        <w:rPr>
          <w:rFonts w:hint="eastAsia"/>
        </w:rPr>
      </w:pPr>
      <w:bookmarkStart w:id="42" w:name="_Toc26599"/>
      <w:r>
        <w:rPr>
          <w:rFonts w:hint="eastAsia"/>
        </w:rPr>
        <w:t>3、</w:t>
      </w:r>
      <w:r>
        <w:t>服务灵活性与合同期限对比</w:t>
      </w:r>
      <w:bookmarkEnd w:id="42"/>
    </w:p>
    <w:p w14:paraId="20DB98B4">
      <w:pPr>
        <w:pStyle w:val="5"/>
        <w:ind w:firstLine="560"/>
        <w:rPr>
          <w:rFonts w:hint="eastAsia" w:ascii="仿宋_GB2312"/>
          <w:szCs w:val="28"/>
        </w:rPr>
      </w:pPr>
      <w:r>
        <w:rPr>
          <w:rFonts w:hint="eastAsia" w:ascii="仿宋_GB2312"/>
          <w:szCs w:val="28"/>
        </w:rPr>
        <w:t>政府购买服务模式合同期限灵活，通常为1至3年（最长不超过10年），便于政府根据财政状况和服务质量变化适时调整。这种短周期机制有利于保持市场活力，激励企业持续提升服务质量。</w:t>
      </w:r>
    </w:p>
    <w:p w14:paraId="0F16C909">
      <w:pPr>
        <w:pStyle w:val="5"/>
        <w:ind w:firstLine="560"/>
        <w:rPr>
          <w:rFonts w:hint="eastAsia" w:ascii="仿宋_GB2312"/>
          <w:szCs w:val="28"/>
        </w:rPr>
      </w:pPr>
      <w:r>
        <w:rPr>
          <w:rFonts w:hint="eastAsia" w:ascii="仿宋_GB2312"/>
          <w:szCs w:val="28"/>
        </w:rPr>
        <w:t>服务模式的服务期往往长达20至30年，项目长期锁定后，政府在合同期内调整服务内容、应对新需求的空间极为有限。更值得关注的是，2024年12月发改委明确要求“不得针对具体项目设定任何保底安排，不得在合同协议中对具体项目作出保底约定或承诺”，这使得服务项目的收益不确定性进一步增大。</w:t>
      </w:r>
    </w:p>
    <w:p w14:paraId="6D58D6AD">
      <w:pPr>
        <w:pStyle w:val="4"/>
        <w:rPr>
          <w:rFonts w:hint="eastAsia"/>
        </w:rPr>
      </w:pPr>
      <w:bookmarkStart w:id="43" w:name="_Toc20933"/>
      <w:r>
        <w:rPr>
          <w:rFonts w:hint="eastAsia"/>
        </w:rPr>
        <w:t>4、</w:t>
      </w:r>
      <w:r>
        <w:t>实践经验与成效对比</w:t>
      </w:r>
      <w:bookmarkEnd w:id="43"/>
    </w:p>
    <w:p w14:paraId="187FDCE5">
      <w:pPr>
        <w:pStyle w:val="5"/>
        <w:ind w:firstLine="562"/>
        <w:rPr>
          <w:rFonts w:hint="eastAsia" w:ascii="仿宋_GB2312"/>
          <w:color w:val="auto"/>
          <w:szCs w:val="28"/>
          <w:highlight w:val="none"/>
        </w:rPr>
      </w:pPr>
      <w:r>
        <w:rPr>
          <w:rFonts w:hint="eastAsia" w:ascii="仿宋_GB2312"/>
          <w:b/>
          <w:bCs/>
          <w:color w:val="auto"/>
          <w:szCs w:val="28"/>
          <w:highlight w:val="none"/>
        </w:rPr>
        <w:t>政府购买服务模式已有大量成功实践：</w:t>
      </w:r>
    </w:p>
    <w:p w14:paraId="2A06B54F">
      <w:pPr>
        <w:pStyle w:val="5"/>
        <w:ind w:firstLine="562"/>
        <w:rPr>
          <w:rFonts w:hint="default" w:ascii="仿宋_GB2312" w:eastAsia="仿宋_GB2312"/>
          <w:b/>
          <w:bCs/>
          <w:color w:val="000000" w:themeColor="text1"/>
          <w:szCs w:val="28"/>
          <w:highlight w:val="none"/>
          <w:lang w:val="en-US" w:eastAsia="zh-CN"/>
          <w14:textFill>
            <w14:solidFill>
              <w14:schemeClr w14:val="tx1"/>
            </w14:solidFill>
          </w14:textFill>
        </w:rPr>
      </w:pPr>
      <w:r>
        <w:rPr>
          <w:rFonts w:hint="eastAsia" w:ascii="仿宋_GB2312"/>
          <w:b/>
          <w:bCs/>
          <w:color w:val="auto"/>
          <w:szCs w:val="28"/>
          <w:highlight w:val="none"/>
          <w:lang w:val="en-US" w:eastAsia="zh-CN"/>
        </w:rPr>
        <w:t>通过与地区内各县市了解，目前塔城市、额敏县、裕民县目前采取的方式为本地国有企业成立公司通过招投标与住建局签订合同，裕民县的模式为人员工资、日常消耗用品、燃油等均由国有企业承担。日常工作、人员管理均还由环卫中心管理实施；塔城市、乌苏市、沙湾市全部交由国有企业实施，环卫中心主要负责日常监督考核。</w:t>
      </w:r>
    </w:p>
    <w:p w14:paraId="28D5FAA9">
      <w:pPr>
        <w:pStyle w:val="5"/>
        <w:ind w:firstLine="562"/>
        <w:rPr>
          <w:rFonts w:hint="eastAsia" w:ascii="仿宋_GB2312"/>
          <w:color w:val="000000" w:themeColor="text1"/>
          <w:szCs w:val="28"/>
          <w:highlight w:val="none"/>
          <w14:textFill>
            <w14:solidFill>
              <w14:schemeClr w14:val="tx1"/>
            </w14:solidFill>
          </w14:textFill>
        </w:rPr>
      </w:pPr>
      <w:r>
        <w:rPr>
          <w:rFonts w:hint="eastAsia" w:ascii="仿宋_GB2312"/>
          <w:b/>
          <w:bCs/>
          <w:color w:val="000000" w:themeColor="text1"/>
          <w:szCs w:val="28"/>
          <w:highlight w:val="none"/>
          <w14:textFill>
            <w14:solidFill>
              <w14:schemeClr w14:val="tx1"/>
            </w14:solidFill>
          </w14:textFill>
        </w:rPr>
        <w:t>南丹县</w:t>
      </w:r>
      <w:r>
        <w:rPr>
          <w:rFonts w:hint="eastAsia" w:ascii="仿宋_GB2312"/>
          <w:color w:val="000000" w:themeColor="text1"/>
          <w:szCs w:val="28"/>
          <w:highlight w:val="none"/>
          <w14:textFill>
            <w14:solidFill>
              <w14:schemeClr w14:val="tx1"/>
            </w14:solidFill>
          </w14:textFill>
        </w:rPr>
        <w:t>通过公开招标和购买服务，吸引各类专业公司参与竞争，新增多辆垃圾压缩车、高压清洗车等设备，实现清洁工作机械化和精细化运作。优化后的环卫服务使县城整体环境大为改观，背街小巷不再是“卫生死角”，反而成了“美丽街角”，为优化营商环境提供了重要助力。</w:t>
      </w:r>
    </w:p>
    <w:p w14:paraId="68B11F37">
      <w:pPr>
        <w:pStyle w:val="5"/>
        <w:ind w:firstLine="562"/>
        <w:rPr>
          <w:rFonts w:hint="eastAsia" w:ascii="仿宋_GB2312"/>
          <w:color w:val="000000" w:themeColor="text1"/>
          <w:szCs w:val="28"/>
          <w:highlight w:val="none"/>
          <w14:textFill>
            <w14:solidFill>
              <w14:schemeClr w14:val="tx1"/>
            </w14:solidFill>
          </w14:textFill>
        </w:rPr>
      </w:pPr>
      <w:r>
        <w:rPr>
          <w:rFonts w:hint="eastAsia" w:ascii="仿宋_GB2312"/>
          <w:b/>
          <w:bCs/>
          <w:color w:val="000000" w:themeColor="text1"/>
          <w:szCs w:val="28"/>
          <w:highlight w:val="none"/>
          <w14:textFill>
            <w14:solidFill>
              <w14:schemeClr w14:val="tx1"/>
            </w14:solidFill>
          </w14:textFill>
        </w:rPr>
        <w:t>珙泉镇</w:t>
      </w:r>
      <w:r>
        <w:rPr>
          <w:rFonts w:hint="eastAsia" w:ascii="仿宋_GB2312"/>
          <w:color w:val="000000" w:themeColor="text1"/>
          <w:szCs w:val="28"/>
          <w:highlight w:val="none"/>
          <w14:textFill>
            <w14:solidFill>
              <w14:schemeClr w14:val="tx1"/>
            </w14:solidFill>
          </w14:textFill>
        </w:rPr>
        <w:t>采取政府购买服务方式，打破了环卫保洁“管干一体、吃大锅饭”的旧模式，从2020年起以“政府花钱买服务”形式将场镇环卫保洁推向市场，实行公开招标、合同管理，降低作业成本、提高经济效率，花最合理的钱、买最优质的服务。</w:t>
      </w:r>
    </w:p>
    <w:p w14:paraId="1266821D">
      <w:pPr>
        <w:pStyle w:val="5"/>
        <w:ind w:firstLine="562"/>
        <w:rPr>
          <w:rFonts w:hint="eastAsia" w:ascii="仿宋_GB2312"/>
          <w:color w:val="000000" w:themeColor="text1"/>
          <w:szCs w:val="28"/>
          <w:highlight w:val="none"/>
          <w14:textFill>
            <w14:solidFill>
              <w14:schemeClr w14:val="tx1"/>
            </w14:solidFill>
          </w14:textFill>
        </w:rPr>
      </w:pPr>
      <w:r>
        <w:rPr>
          <w:rFonts w:hint="eastAsia" w:ascii="仿宋_GB2312"/>
          <w:b/>
          <w:bCs/>
          <w:color w:val="000000" w:themeColor="text1"/>
          <w:szCs w:val="28"/>
          <w:highlight w:val="none"/>
          <w14:textFill>
            <w14:solidFill>
              <w14:schemeClr w14:val="tx1"/>
            </w14:solidFill>
          </w14:textFill>
        </w:rPr>
        <w:t>孝感市</w:t>
      </w:r>
      <w:r>
        <w:rPr>
          <w:rFonts w:hint="eastAsia" w:ascii="仿宋_GB2312"/>
          <w:color w:val="000000" w:themeColor="text1"/>
          <w:szCs w:val="28"/>
          <w:highlight w:val="none"/>
          <w14:textFill>
            <w14:solidFill>
              <w14:schemeClr w14:val="tx1"/>
            </w14:solidFill>
          </w14:textFill>
        </w:rPr>
        <w:t>通过政府购买服务方式实现城区环卫一体化，按照“统一市场化公司、统一作业模式、统一人员管理、统一考核标准”构建新格局。中标企业正式运营后，机械化清扫覆盖面持续扩大，作业区域、频次更加合理，统一标准与考核制度推动服务规范化水平显著提升。</w:t>
      </w:r>
    </w:p>
    <w:p w14:paraId="2940A663">
      <w:pPr>
        <w:pStyle w:val="5"/>
        <w:ind w:firstLine="562"/>
        <w:rPr>
          <w:rFonts w:hint="eastAsia" w:ascii="仿宋_GB2312"/>
          <w:color w:val="000000" w:themeColor="text1"/>
          <w:szCs w:val="28"/>
          <w:highlight w:val="none"/>
          <w14:textFill>
            <w14:solidFill>
              <w14:schemeClr w14:val="tx1"/>
            </w14:solidFill>
          </w14:textFill>
        </w:rPr>
      </w:pPr>
      <w:r>
        <w:rPr>
          <w:rFonts w:hint="eastAsia" w:ascii="仿宋_GB2312"/>
          <w:b/>
          <w:bCs/>
          <w:color w:val="000000" w:themeColor="text1"/>
          <w:szCs w:val="28"/>
          <w:highlight w:val="none"/>
          <w14:textFill>
            <w14:solidFill>
              <w14:schemeClr w14:val="tx1"/>
            </w14:solidFill>
          </w14:textFill>
        </w:rPr>
        <w:t>汉川市</w:t>
      </w:r>
      <w:r>
        <w:rPr>
          <w:rFonts w:hint="eastAsia" w:ascii="仿宋_GB2312"/>
          <w:color w:val="000000" w:themeColor="text1"/>
          <w:szCs w:val="28"/>
          <w:highlight w:val="none"/>
          <w14:textFill>
            <w14:solidFill>
              <w14:schemeClr w14:val="tx1"/>
            </w14:solidFill>
          </w14:textFill>
        </w:rPr>
        <w:t>以政府购买服务方式推进城乡环卫一体市场化改革，截至目前共计18个乡镇开展全域市场化模式运行，行政村生活垃圾有效治理覆盖率达100%。</w:t>
      </w:r>
    </w:p>
    <w:p w14:paraId="6E3E3E76">
      <w:pPr>
        <w:pStyle w:val="5"/>
        <w:ind w:firstLine="562"/>
        <w:rPr>
          <w:rFonts w:hint="eastAsia" w:ascii="仿宋_GB2312"/>
          <w:szCs w:val="28"/>
        </w:rPr>
      </w:pPr>
      <w:r>
        <w:rPr>
          <w:rFonts w:hint="eastAsia" w:ascii="仿宋_GB2312"/>
          <w:b/>
          <w:bCs/>
          <w:szCs w:val="28"/>
        </w:rPr>
        <w:t>服务模式近年频现困境：</w:t>
      </w:r>
      <w:r>
        <w:rPr>
          <w:rFonts w:hint="eastAsia" w:ascii="仿宋_GB2312"/>
          <w:szCs w:val="28"/>
        </w:rPr>
        <w:t>据媒体报道，2024年仅十几天时间就出现多个服务项目，但普遍面临收费难、收费低、收费成本高等问题，项目落地面临重重障碍。</w:t>
      </w:r>
    </w:p>
    <w:p w14:paraId="536C0268">
      <w:pPr>
        <w:pStyle w:val="4"/>
        <w:rPr>
          <w:rFonts w:hint="eastAsia"/>
        </w:rPr>
      </w:pPr>
      <w:bookmarkStart w:id="44" w:name="_Toc19886"/>
      <w:r>
        <w:rPr>
          <w:rFonts w:hint="eastAsia"/>
        </w:rPr>
        <w:t>4、</w:t>
      </w:r>
      <w:r>
        <w:t>两种模式的总体对比表</w:t>
      </w:r>
      <w:bookmarkEnd w:id="44"/>
    </w:p>
    <w:tbl>
      <w:tblPr>
        <w:tblStyle w:val="32"/>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3493"/>
        <w:gridCol w:w="3413"/>
      </w:tblGrid>
      <w:tr w14:paraId="03D6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532" w:type="dxa"/>
            <w:vAlign w:val="center"/>
          </w:tcPr>
          <w:p w14:paraId="42120F8A">
            <w:pPr>
              <w:pStyle w:val="5"/>
              <w:spacing w:line="240" w:lineRule="auto"/>
              <w:ind w:firstLine="0" w:firstLineChars="0"/>
              <w:jc w:val="center"/>
              <w:rPr>
                <w:rFonts w:hint="eastAsia" w:ascii="仿宋_GB2312"/>
                <w:b/>
                <w:bCs/>
                <w:sz w:val="24"/>
              </w:rPr>
            </w:pPr>
            <w:r>
              <w:rPr>
                <w:rFonts w:hint="eastAsia" w:ascii="仿宋_GB2312"/>
                <w:b/>
                <w:bCs/>
                <w:sz w:val="24"/>
              </w:rPr>
              <w:t>比较维度</w:t>
            </w:r>
          </w:p>
        </w:tc>
        <w:tc>
          <w:tcPr>
            <w:tcW w:w="3493" w:type="dxa"/>
            <w:vAlign w:val="center"/>
          </w:tcPr>
          <w:p w14:paraId="6C9B6B3E">
            <w:pPr>
              <w:pStyle w:val="5"/>
              <w:spacing w:line="240" w:lineRule="auto"/>
              <w:ind w:firstLine="0" w:firstLineChars="0"/>
              <w:jc w:val="center"/>
              <w:rPr>
                <w:rFonts w:hint="eastAsia" w:ascii="仿宋_GB2312"/>
                <w:b/>
                <w:bCs/>
                <w:sz w:val="24"/>
              </w:rPr>
            </w:pPr>
            <w:r>
              <w:rPr>
                <w:rFonts w:hint="eastAsia" w:ascii="仿宋_GB2312"/>
                <w:b/>
                <w:bCs/>
                <w:sz w:val="24"/>
              </w:rPr>
              <w:t>政府购买服务模式</w:t>
            </w:r>
          </w:p>
        </w:tc>
        <w:tc>
          <w:tcPr>
            <w:tcW w:w="3413" w:type="dxa"/>
            <w:vAlign w:val="center"/>
          </w:tcPr>
          <w:p w14:paraId="62D1F9D1">
            <w:pPr>
              <w:pStyle w:val="5"/>
              <w:spacing w:line="240" w:lineRule="auto"/>
              <w:ind w:firstLine="0" w:firstLineChars="0"/>
              <w:jc w:val="center"/>
              <w:rPr>
                <w:rFonts w:hint="eastAsia" w:ascii="仿宋_GB2312"/>
                <w:b/>
                <w:bCs/>
                <w:sz w:val="24"/>
              </w:rPr>
            </w:pPr>
            <w:r>
              <w:rPr>
                <w:rFonts w:hint="eastAsia" w:ascii="仿宋_GB2312"/>
                <w:b/>
                <w:bCs/>
                <w:sz w:val="24"/>
              </w:rPr>
              <w:t>服务模式</w:t>
            </w:r>
          </w:p>
        </w:tc>
      </w:tr>
      <w:tr w14:paraId="2F88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532" w:type="dxa"/>
            <w:vAlign w:val="center"/>
          </w:tcPr>
          <w:p w14:paraId="1AE16D6D">
            <w:pPr>
              <w:pStyle w:val="5"/>
              <w:spacing w:line="240" w:lineRule="auto"/>
              <w:ind w:firstLine="0" w:firstLineChars="0"/>
              <w:jc w:val="center"/>
              <w:rPr>
                <w:rFonts w:hint="eastAsia" w:ascii="仿宋_GB2312"/>
                <w:b/>
                <w:bCs/>
                <w:sz w:val="24"/>
              </w:rPr>
            </w:pPr>
            <w:r>
              <w:rPr>
                <w:rFonts w:hint="eastAsia" w:ascii="仿宋_GB2312"/>
                <w:b/>
                <w:bCs/>
                <w:sz w:val="24"/>
              </w:rPr>
              <w:t>适用项目类型</w:t>
            </w:r>
          </w:p>
        </w:tc>
        <w:tc>
          <w:tcPr>
            <w:tcW w:w="3493" w:type="dxa"/>
          </w:tcPr>
          <w:p w14:paraId="0BBF865A">
            <w:pPr>
              <w:pStyle w:val="5"/>
              <w:spacing w:line="240" w:lineRule="auto"/>
              <w:ind w:firstLine="0" w:firstLineChars="0"/>
              <w:rPr>
                <w:rFonts w:hint="eastAsia" w:ascii="仿宋_GB2312"/>
                <w:b/>
                <w:bCs/>
                <w:sz w:val="24"/>
              </w:rPr>
            </w:pPr>
            <w:r>
              <w:rPr>
                <w:rFonts w:hint="eastAsia" w:ascii="仿宋_GB2312"/>
                <w:sz w:val="24"/>
              </w:rPr>
              <w:t>不涉及工程建设的环卫服务（道路清扫保洁、垃圾清运、设施管养等）</w:t>
            </w:r>
          </w:p>
        </w:tc>
        <w:tc>
          <w:tcPr>
            <w:tcW w:w="3413" w:type="dxa"/>
          </w:tcPr>
          <w:p w14:paraId="156FD862">
            <w:pPr>
              <w:pStyle w:val="5"/>
              <w:spacing w:line="240" w:lineRule="auto"/>
              <w:ind w:firstLine="0" w:firstLineChars="0"/>
              <w:rPr>
                <w:rFonts w:hint="eastAsia" w:ascii="仿宋_GB2312"/>
                <w:b/>
                <w:bCs/>
                <w:sz w:val="24"/>
              </w:rPr>
            </w:pPr>
            <w:r>
              <w:rPr>
                <w:rFonts w:hint="eastAsia" w:ascii="仿宋_GB2312"/>
                <w:sz w:val="24"/>
              </w:rPr>
              <w:t>涉及工程建设或垃圾末端处理设施的项目</w:t>
            </w:r>
          </w:p>
        </w:tc>
      </w:tr>
      <w:tr w14:paraId="0E07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532" w:type="dxa"/>
            <w:vAlign w:val="center"/>
          </w:tcPr>
          <w:p w14:paraId="240AFE43">
            <w:pPr>
              <w:pStyle w:val="5"/>
              <w:spacing w:line="240" w:lineRule="auto"/>
              <w:ind w:firstLine="0" w:firstLineChars="0"/>
              <w:jc w:val="center"/>
              <w:rPr>
                <w:rFonts w:hint="eastAsia" w:ascii="仿宋_GB2312"/>
                <w:b/>
                <w:bCs/>
                <w:sz w:val="24"/>
              </w:rPr>
            </w:pPr>
            <w:r>
              <w:rPr>
                <w:rFonts w:hint="eastAsia" w:ascii="仿宋_GB2312"/>
                <w:b/>
                <w:bCs/>
                <w:sz w:val="24"/>
              </w:rPr>
              <w:t>回报机制</w:t>
            </w:r>
          </w:p>
        </w:tc>
        <w:tc>
          <w:tcPr>
            <w:tcW w:w="3493" w:type="dxa"/>
            <w:vAlign w:val="center"/>
          </w:tcPr>
          <w:p w14:paraId="1BC943A1">
            <w:pPr>
              <w:pStyle w:val="5"/>
              <w:spacing w:line="240" w:lineRule="auto"/>
              <w:ind w:firstLine="0" w:firstLineChars="0"/>
              <w:rPr>
                <w:rFonts w:hint="eastAsia" w:ascii="仿宋_GB2312"/>
                <w:b/>
                <w:bCs/>
                <w:sz w:val="24"/>
              </w:rPr>
            </w:pPr>
            <w:r>
              <w:rPr>
                <w:rFonts w:hint="eastAsia" w:ascii="仿宋_GB2312"/>
                <w:sz w:val="24"/>
              </w:rPr>
              <w:t>政府付费，纳入年度财政预算</w:t>
            </w:r>
          </w:p>
        </w:tc>
        <w:tc>
          <w:tcPr>
            <w:tcW w:w="3413" w:type="dxa"/>
            <w:vAlign w:val="center"/>
          </w:tcPr>
          <w:p w14:paraId="12AB416B">
            <w:pPr>
              <w:pStyle w:val="5"/>
              <w:spacing w:line="240" w:lineRule="auto"/>
              <w:ind w:firstLine="0" w:firstLineChars="0"/>
              <w:rPr>
                <w:rFonts w:hint="eastAsia" w:ascii="仿宋_GB2312"/>
                <w:b/>
                <w:bCs/>
                <w:sz w:val="24"/>
              </w:rPr>
            </w:pPr>
            <w:r>
              <w:rPr>
                <w:rFonts w:hint="eastAsia" w:ascii="仿宋_GB2312"/>
                <w:sz w:val="24"/>
              </w:rPr>
              <w:t>使用者付费为主，政府补贴为辅</w:t>
            </w:r>
          </w:p>
        </w:tc>
      </w:tr>
      <w:tr w14:paraId="731A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532" w:type="dxa"/>
            <w:vAlign w:val="center"/>
          </w:tcPr>
          <w:p w14:paraId="552B3625">
            <w:pPr>
              <w:pStyle w:val="5"/>
              <w:spacing w:line="240" w:lineRule="auto"/>
              <w:ind w:firstLine="0" w:firstLineChars="0"/>
              <w:jc w:val="center"/>
              <w:rPr>
                <w:rFonts w:hint="eastAsia" w:ascii="仿宋_GB2312"/>
                <w:b/>
                <w:bCs/>
                <w:sz w:val="24"/>
              </w:rPr>
            </w:pPr>
            <w:r>
              <w:rPr>
                <w:rFonts w:hint="eastAsia" w:ascii="仿宋_GB2312"/>
                <w:b/>
                <w:bCs/>
                <w:sz w:val="24"/>
              </w:rPr>
              <w:t>合同期限</w:t>
            </w:r>
          </w:p>
        </w:tc>
        <w:tc>
          <w:tcPr>
            <w:tcW w:w="3493" w:type="dxa"/>
            <w:vAlign w:val="center"/>
          </w:tcPr>
          <w:p w14:paraId="0DE39BEA">
            <w:pPr>
              <w:pStyle w:val="5"/>
              <w:spacing w:line="240" w:lineRule="auto"/>
              <w:ind w:firstLine="0" w:firstLineChars="0"/>
              <w:rPr>
                <w:rFonts w:hint="eastAsia" w:ascii="仿宋_GB2312"/>
                <w:b/>
                <w:bCs/>
                <w:sz w:val="24"/>
              </w:rPr>
            </w:pPr>
            <w:r>
              <w:rPr>
                <w:rFonts w:hint="eastAsia" w:ascii="仿宋_GB2312"/>
                <w:sz w:val="24"/>
              </w:rPr>
              <w:t>通常1-3年，最长不超过10年</w:t>
            </w:r>
          </w:p>
        </w:tc>
        <w:tc>
          <w:tcPr>
            <w:tcW w:w="3413" w:type="dxa"/>
            <w:vAlign w:val="center"/>
          </w:tcPr>
          <w:p w14:paraId="2F32316F">
            <w:pPr>
              <w:pStyle w:val="5"/>
              <w:spacing w:line="240" w:lineRule="auto"/>
              <w:ind w:firstLine="0" w:firstLineChars="0"/>
              <w:rPr>
                <w:rFonts w:hint="eastAsia" w:ascii="仿宋_GB2312"/>
                <w:b/>
                <w:bCs/>
                <w:sz w:val="24"/>
              </w:rPr>
            </w:pPr>
            <w:r>
              <w:rPr>
                <w:rFonts w:hint="eastAsia" w:ascii="仿宋_GB2312"/>
                <w:sz w:val="24"/>
              </w:rPr>
              <w:t>通常15-30年</w:t>
            </w:r>
          </w:p>
        </w:tc>
      </w:tr>
      <w:tr w14:paraId="49F7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532" w:type="dxa"/>
            <w:vAlign w:val="center"/>
          </w:tcPr>
          <w:p w14:paraId="7DAB719B">
            <w:pPr>
              <w:pStyle w:val="5"/>
              <w:spacing w:line="240" w:lineRule="auto"/>
              <w:ind w:firstLine="0" w:firstLineChars="0"/>
              <w:jc w:val="center"/>
              <w:rPr>
                <w:rFonts w:hint="eastAsia" w:ascii="仿宋_GB2312"/>
                <w:b/>
                <w:bCs/>
                <w:sz w:val="24"/>
              </w:rPr>
            </w:pPr>
            <w:r>
              <w:rPr>
                <w:rFonts w:hint="eastAsia" w:ascii="仿宋_GB2312"/>
                <w:b/>
                <w:bCs/>
                <w:sz w:val="24"/>
              </w:rPr>
              <w:t>财政风险</w:t>
            </w:r>
          </w:p>
        </w:tc>
        <w:tc>
          <w:tcPr>
            <w:tcW w:w="3493" w:type="dxa"/>
            <w:vAlign w:val="center"/>
          </w:tcPr>
          <w:p w14:paraId="11B2FB14">
            <w:pPr>
              <w:pStyle w:val="5"/>
              <w:spacing w:line="240" w:lineRule="auto"/>
              <w:ind w:firstLine="0" w:firstLineChars="0"/>
              <w:rPr>
                <w:rFonts w:hint="eastAsia" w:ascii="仿宋_GB2312"/>
                <w:b/>
                <w:bCs/>
                <w:sz w:val="24"/>
              </w:rPr>
            </w:pPr>
            <w:r>
              <w:rPr>
                <w:rFonts w:hint="eastAsia" w:ascii="仿宋_GB2312"/>
                <w:sz w:val="24"/>
              </w:rPr>
              <w:t>低，预算约束严格，经人大审批</w:t>
            </w:r>
          </w:p>
        </w:tc>
        <w:tc>
          <w:tcPr>
            <w:tcW w:w="3413" w:type="dxa"/>
            <w:vAlign w:val="center"/>
          </w:tcPr>
          <w:p w14:paraId="041D3BEF">
            <w:pPr>
              <w:pStyle w:val="5"/>
              <w:spacing w:line="240" w:lineRule="auto"/>
              <w:ind w:firstLine="0" w:firstLineChars="0"/>
              <w:rPr>
                <w:rFonts w:hint="eastAsia" w:ascii="仿宋_GB2312"/>
                <w:b/>
                <w:bCs/>
                <w:sz w:val="24"/>
              </w:rPr>
            </w:pPr>
            <w:r>
              <w:rPr>
                <w:rFonts w:hint="eastAsia" w:ascii="仿宋_GB2312"/>
                <w:sz w:val="24"/>
              </w:rPr>
              <w:t>较高，存在隐性债务风险及合规风险</w:t>
            </w:r>
          </w:p>
        </w:tc>
      </w:tr>
      <w:tr w14:paraId="179F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532" w:type="dxa"/>
            <w:vAlign w:val="center"/>
          </w:tcPr>
          <w:p w14:paraId="3518181F">
            <w:pPr>
              <w:pStyle w:val="5"/>
              <w:spacing w:line="240" w:lineRule="auto"/>
              <w:ind w:firstLine="0" w:firstLineChars="0"/>
              <w:jc w:val="center"/>
              <w:rPr>
                <w:rFonts w:hint="eastAsia" w:ascii="仿宋_GB2312"/>
                <w:b/>
                <w:bCs/>
                <w:sz w:val="24"/>
              </w:rPr>
            </w:pPr>
            <w:r>
              <w:rPr>
                <w:rFonts w:hint="eastAsia" w:ascii="仿宋_GB2312"/>
                <w:b/>
                <w:bCs/>
                <w:sz w:val="24"/>
              </w:rPr>
              <w:t>政策合规性</w:t>
            </w:r>
          </w:p>
        </w:tc>
        <w:tc>
          <w:tcPr>
            <w:tcW w:w="3493" w:type="dxa"/>
            <w:vAlign w:val="center"/>
          </w:tcPr>
          <w:p w14:paraId="12E90712">
            <w:pPr>
              <w:pStyle w:val="5"/>
              <w:spacing w:line="240" w:lineRule="auto"/>
              <w:ind w:firstLine="0" w:firstLineChars="0"/>
              <w:rPr>
                <w:rFonts w:hint="eastAsia" w:ascii="仿宋_GB2312"/>
                <w:b/>
                <w:bCs/>
                <w:sz w:val="24"/>
              </w:rPr>
            </w:pPr>
            <w:r>
              <w:rPr>
                <w:rFonts w:hint="eastAsia" w:ascii="仿宋_GB2312"/>
                <w:sz w:val="24"/>
              </w:rPr>
              <w:t>成熟稳定，政策框架清晰</w:t>
            </w:r>
          </w:p>
        </w:tc>
        <w:tc>
          <w:tcPr>
            <w:tcW w:w="3413" w:type="dxa"/>
            <w:vAlign w:val="center"/>
          </w:tcPr>
          <w:p w14:paraId="3D1D1A47">
            <w:pPr>
              <w:pStyle w:val="5"/>
              <w:spacing w:line="240" w:lineRule="auto"/>
              <w:ind w:firstLine="0" w:firstLineChars="0"/>
              <w:rPr>
                <w:rFonts w:hint="eastAsia" w:ascii="仿宋_GB2312"/>
                <w:b/>
                <w:bCs/>
                <w:sz w:val="24"/>
              </w:rPr>
            </w:pPr>
            <w:r>
              <w:rPr>
                <w:rFonts w:hint="eastAsia" w:ascii="仿宋_GB2312"/>
                <w:sz w:val="24"/>
              </w:rPr>
              <w:t>近年政策收紧频密，合规门槛高</w:t>
            </w:r>
          </w:p>
        </w:tc>
      </w:tr>
      <w:tr w14:paraId="327B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532" w:type="dxa"/>
            <w:vAlign w:val="center"/>
          </w:tcPr>
          <w:p w14:paraId="7F9EA17D">
            <w:pPr>
              <w:pStyle w:val="5"/>
              <w:spacing w:line="240" w:lineRule="auto"/>
              <w:ind w:firstLine="0" w:firstLineChars="0"/>
              <w:jc w:val="center"/>
              <w:rPr>
                <w:rFonts w:hint="eastAsia" w:ascii="仿宋_GB2312"/>
                <w:b/>
                <w:bCs/>
                <w:sz w:val="24"/>
              </w:rPr>
            </w:pPr>
            <w:r>
              <w:rPr>
                <w:rFonts w:hint="eastAsia" w:ascii="仿宋_GB2312"/>
                <w:b/>
                <w:bCs/>
                <w:sz w:val="24"/>
              </w:rPr>
              <w:t>适用项目类型</w:t>
            </w:r>
          </w:p>
        </w:tc>
        <w:tc>
          <w:tcPr>
            <w:tcW w:w="3493" w:type="dxa"/>
            <w:vAlign w:val="center"/>
          </w:tcPr>
          <w:p w14:paraId="1AA068D8">
            <w:pPr>
              <w:pStyle w:val="5"/>
              <w:spacing w:line="240" w:lineRule="auto"/>
              <w:ind w:firstLine="0" w:firstLineChars="0"/>
              <w:rPr>
                <w:rFonts w:hint="eastAsia" w:ascii="仿宋_GB2312"/>
                <w:sz w:val="24"/>
              </w:rPr>
            </w:pPr>
            <w:r>
              <w:rPr>
                <w:rFonts w:hint="eastAsia" w:ascii="仿宋_GB2312"/>
                <w:sz w:val="24"/>
              </w:rPr>
              <w:t>不涉及工程建设的环卫服务（道路清扫保洁、垃圾清运、设施管养等）</w:t>
            </w:r>
          </w:p>
        </w:tc>
        <w:tc>
          <w:tcPr>
            <w:tcW w:w="3413" w:type="dxa"/>
            <w:vAlign w:val="center"/>
          </w:tcPr>
          <w:p w14:paraId="65ABF5EB">
            <w:pPr>
              <w:pStyle w:val="5"/>
              <w:spacing w:line="240" w:lineRule="auto"/>
              <w:ind w:firstLine="0" w:firstLineChars="0"/>
              <w:rPr>
                <w:rFonts w:hint="eastAsia" w:ascii="仿宋_GB2312"/>
                <w:sz w:val="24"/>
              </w:rPr>
            </w:pPr>
            <w:r>
              <w:rPr>
                <w:rFonts w:hint="eastAsia" w:ascii="仿宋_GB2312"/>
                <w:sz w:val="24"/>
              </w:rPr>
              <w:t>涉及工程建设或垃圾末端处理设施的项目</w:t>
            </w:r>
          </w:p>
        </w:tc>
      </w:tr>
      <w:tr w14:paraId="6FC1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532" w:type="dxa"/>
            <w:vAlign w:val="center"/>
          </w:tcPr>
          <w:p w14:paraId="2592BF84">
            <w:pPr>
              <w:pStyle w:val="5"/>
              <w:spacing w:line="240" w:lineRule="auto"/>
              <w:ind w:firstLine="0" w:firstLineChars="0"/>
              <w:jc w:val="center"/>
              <w:rPr>
                <w:rFonts w:hint="eastAsia" w:ascii="仿宋_GB2312"/>
                <w:b/>
                <w:bCs/>
                <w:sz w:val="24"/>
              </w:rPr>
            </w:pPr>
            <w:r>
              <w:rPr>
                <w:rFonts w:hint="eastAsia" w:ascii="仿宋_GB2312"/>
                <w:b/>
                <w:bCs/>
                <w:sz w:val="24"/>
              </w:rPr>
              <w:t>市场竞争</w:t>
            </w:r>
          </w:p>
        </w:tc>
        <w:tc>
          <w:tcPr>
            <w:tcW w:w="3493" w:type="dxa"/>
            <w:vAlign w:val="center"/>
          </w:tcPr>
          <w:p w14:paraId="6A355330">
            <w:pPr>
              <w:pStyle w:val="5"/>
              <w:spacing w:line="240" w:lineRule="auto"/>
              <w:ind w:firstLine="0" w:firstLineChars="0"/>
              <w:rPr>
                <w:rFonts w:hint="eastAsia" w:ascii="仿宋_GB2312"/>
                <w:sz w:val="24"/>
              </w:rPr>
            </w:pPr>
            <w:r>
              <w:rPr>
                <w:rFonts w:hint="eastAsia" w:ascii="仿宋_GB2312"/>
                <w:sz w:val="24"/>
              </w:rPr>
              <w:t>充分竞争，承接主体范围广泛</w:t>
            </w:r>
          </w:p>
        </w:tc>
        <w:tc>
          <w:tcPr>
            <w:tcW w:w="3413" w:type="dxa"/>
            <w:vAlign w:val="center"/>
          </w:tcPr>
          <w:p w14:paraId="6701F30A">
            <w:pPr>
              <w:pStyle w:val="5"/>
              <w:spacing w:line="240" w:lineRule="auto"/>
              <w:ind w:firstLine="0" w:firstLineChars="0"/>
              <w:rPr>
                <w:rFonts w:hint="eastAsia" w:ascii="仿宋_GB2312"/>
                <w:sz w:val="24"/>
              </w:rPr>
            </w:pPr>
            <w:r>
              <w:rPr>
                <w:rFonts w:hint="eastAsia" w:ascii="仿宋_GB2312"/>
                <w:sz w:val="24"/>
              </w:rPr>
              <w:t>受“优先民营企业”等政策约束</w:t>
            </w:r>
          </w:p>
        </w:tc>
      </w:tr>
      <w:tr w14:paraId="0BBE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532" w:type="dxa"/>
            <w:vAlign w:val="center"/>
          </w:tcPr>
          <w:p w14:paraId="635C4D5B">
            <w:pPr>
              <w:pStyle w:val="5"/>
              <w:spacing w:line="240" w:lineRule="auto"/>
              <w:ind w:firstLine="0" w:firstLineChars="0"/>
              <w:jc w:val="center"/>
              <w:rPr>
                <w:rFonts w:hint="eastAsia" w:ascii="仿宋_GB2312"/>
                <w:b/>
                <w:bCs/>
                <w:sz w:val="24"/>
              </w:rPr>
            </w:pPr>
            <w:r>
              <w:rPr>
                <w:rFonts w:hint="eastAsia" w:ascii="仿宋_GB2312"/>
                <w:b/>
                <w:bCs/>
                <w:sz w:val="24"/>
              </w:rPr>
              <w:t>绩效约束</w:t>
            </w:r>
          </w:p>
        </w:tc>
        <w:tc>
          <w:tcPr>
            <w:tcW w:w="3493" w:type="dxa"/>
            <w:vAlign w:val="center"/>
          </w:tcPr>
          <w:p w14:paraId="02B74C44">
            <w:pPr>
              <w:pStyle w:val="5"/>
              <w:spacing w:line="240" w:lineRule="auto"/>
              <w:ind w:firstLine="0" w:firstLineChars="0"/>
              <w:rPr>
                <w:rFonts w:hint="eastAsia" w:ascii="仿宋_GB2312"/>
                <w:sz w:val="24"/>
              </w:rPr>
            </w:pPr>
            <w:r>
              <w:rPr>
                <w:rFonts w:hint="eastAsia" w:ascii="仿宋_GB2312"/>
                <w:sz w:val="24"/>
              </w:rPr>
              <w:t>灵活有力，考核结果与付费直接挂钩</w:t>
            </w:r>
          </w:p>
        </w:tc>
        <w:tc>
          <w:tcPr>
            <w:tcW w:w="3413" w:type="dxa"/>
            <w:vAlign w:val="center"/>
          </w:tcPr>
          <w:p w14:paraId="47E5B084">
            <w:pPr>
              <w:pStyle w:val="5"/>
              <w:spacing w:line="240" w:lineRule="auto"/>
              <w:ind w:firstLine="0" w:firstLineChars="0"/>
              <w:rPr>
                <w:rFonts w:hint="eastAsia" w:ascii="仿宋_GB2312"/>
                <w:sz w:val="24"/>
              </w:rPr>
            </w:pPr>
            <w:r>
              <w:rPr>
                <w:rFonts w:hint="eastAsia" w:ascii="仿宋_GB2312"/>
                <w:sz w:val="24"/>
              </w:rPr>
              <w:t>长期锁定，更换运营商难度大</w:t>
            </w:r>
          </w:p>
        </w:tc>
      </w:tr>
      <w:tr w14:paraId="678A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532" w:type="dxa"/>
            <w:vAlign w:val="center"/>
          </w:tcPr>
          <w:p w14:paraId="705FFE9E">
            <w:pPr>
              <w:pStyle w:val="5"/>
              <w:spacing w:line="240" w:lineRule="auto"/>
              <w:ind w:firstLine="0" w:firstLineChars="0"/>
              <w:jc w:val="center"/>
              <w:rPr>
                <w:rFonts w:hint="eastAsia" w:ascii="仿宋_GB2312"/>
                <w:b/>
                <w:bCs/>
                <w:sz w:val="24"/>
              </w:rPr>
            </w:pPr>
            <w:r>
              <w:rPr>
                <w:rFonts w:hint="eastAsia" w:ascii="仿宋_GB2312"/>
                <w:b/>
                <w:bCs/>
                <w:sz w:val="24"/>
              </w:rPr>
              <w:t>实践成效</w:t>
            </w:r>
          </w:p>
        </w:tc>
        <w:tc>
          <w:tcPr>
            <w:tcW w:w="3493" w:type="dxa"/>
            <w:vAlign w:val="center"/>
          </w:tcPr>
          <w:p w14:paraId="7F20A39E">
            <w:pPr>
              <w:pStyle w:val="5"/>
              <w:spacing w:line="240" w:lineRule="auto"/>
              <w:ind w:firstLine="0" w:firstLineChars="0"/>
              <w:rPr>
                <w:rFonts w:hint="eastAsia" w:ascii="仿宋_GB2312"/>
                <w:sz w:val="24"/>
              </w:rPr>
            </w:pPr>
            <w:r>
              <w:rPr>
                <w:rFonts w:hint="eastAsia" w:ascii="仿宋_GB2312"/>
                <w:sz w:val="24"/>
              </w:rPr>
              <w:t>大量成功案例，成效显著</w:t>
            </w:r>
          </w:p>
        </w:tc>
        <w:tc>
          <w:tcPr>
            <w:tcW w:w="3413" w:type="dxa"/>
            <w:vAlign w:val="center"/>
          </w:tcPr>
          <w:p w14:paraId="53C5E731">
            <w:pPr>
              <w:pStyle w:val="5"/>
              <w:spacing w:line="240" w:lineRule="auto"/>
              <w:ind w:firstLine="0" w:firstLineChars="0"/>
              <w:rPr>
                <w:rFonts w:hint="eastAsia" w:ascii="仿宋_GB2312"/>
                <w:sz w:val="24"/>
              </w:rPr>
            </w:pPr>
            <w:r>
              <w:rPr>
                <w:rFonts w:hint="eastAsia" w:ascii="仿宋_GB2312"/>
                <w:sz w:val="24"/>
              </w:rPr>
              <w:t>近年频现废标、终止，落地困难</w:t>
            </w:r>
          </w:p>
        </w:tc>
      </w:tr>
    </w:tbl>
    <w:p w14:paraId="7B890CC1">
      <w:pPr>
        <w:rPr>
          <w:rFonts w:hint="eastAsia" w:ascii="仿宋_GB2312"/>
          <w:szCs w:val="28"/>
        </w:rPr>
      </w:pPr>
      <w:r>
        <w:rPr>
          <w:rFonts w:hint="eastAsia"/>
        </w:rPr>
        <w:t>综合以上分析，在环卫市场化改革中，</w:t>
      </w:r>
      <w:r>
        <w:rPr>
          <w:rFonts w:hint="eastAsia" w:ascii="仿宋_GB2312"/>
          <w:b/>
          <w:bCs/>
          <w:szCs w:val="28"/>
        </w:rPr>
        <w:t>政府购买服务模式相较于特许经营模式具有以下显著制度优势</w:t>
      </w:r>
      <w:r>
        <w:rPr>
          <w:rFonts w:hint="eastAsia"/>
          <w:lang w:eastAsia="zh-CN"/>
        </w:rPr>
        <w:t>：</w:t>
      </w:r>
    </w:p>
    <w:p w14:paraId="09DE3D76">
      <w:pPr>
        <w:pStyle w:val="5"/>
        <w:ind w:firstLine="562"/>
        <w:rPr>
          <w:rFonts w:hint="eastAsia" w:ascii="仿宋_GB2312"/>
          <w:szCs w:val="28"/>
        </w:rPr>
      </w:pPr>
      <w:r>
        <w:rPr>
          <w:rFonts w:hint="eastAsia" w:ascii="仿宋_GB2312"/>
          <w:b/>
          <w:bCs/>
          <w:szCs w:val="28"/>
        </w:rPr>
        <w:t>第一，财政风险可控。</w:t>
      </w:r>
      <w:r>
        <w:rPr>
          <w:rFonts w:hint="eastAsia" w:ascii="仿宋_GB2312"/>
          <w:szCs w:val="28"/>
        </w:rPr>
        <w:t>政府购买服务严格遵循预算管理和人大审批程序，支出与年度财力相匹配，不存在隐性债务风险，符合当前严控地方政府债务的政策导向。</w:t>
      </w:r>
    </w:p>
    <w:p w14:paraId="40F384A7">
      <w:pPr>
        <w:pStyle w:val="5"/>
        <w:ind w:firstLine="562"/>
        <w:rPr>
          <w:rFonts w:hint="eastAsia" w:ascii="仿宋_GB2312"/>
          <w:szCs w:val="28"/>
        </w:rPr>
      </w:pPr>
      <w:r>
        <w:rPr>
          <w:rFonts w:hint="eastAsia" w:ascii="仿宋_GB2312"/>
          <w:b/>
          <w:bCs/>
          <w:szCs w:val="28"/>
        </w:rPr>
        <w:t>第二，政策合规稳健。</w:t>
      </w:r>
      <w:r>
        <w:rPr>
          <w:rFonts w:hint="eastAsia" w:ascii="仿宋_GB2312"/>
          <w:szCs w:val="28"/>
        </w:rPr>
        <w:t>政府购买服务模式拥有成熟完善的法律制度框架，而服务模式近年来政策频繁调整，项目合规风险显著增加，实践中已有大量项目被迫废标或终止。</w:t>
      </w:r>
    </w:p>
    <w:p w14:paraId="792A6742">
      <w:pPr>
        <w:pStyle w:val="5"/>
        <w:ind w:firstLine="562"/>
        <w:rPr>
          <w:rFonts w:hint="eastAsia" w:ascii="仿宋_GB2312"/>
          <w:szCs w:val="28"/>
        </w:rPr>
      </w:pPr>
      <w:r>
        <w:rPr>
          <w:rFonts w:hint="eastAsia" w:ascii="仿宋_GB2312"/>
          <w:b/>
          <w:bCs/>
          <w:szCs w:val="28"/>
        </w:rPr>
        <w:t>第三，管干分离彻底，绩效导向明确。</w:t>
      </w:r>
      <w:r>
        <w:rPr>
          <w:rFonts w:hint="eastAsia" w:ascii="仿宋_GB2312"/>
          <w:szCs w:val="28"/>
        </w:rPr>
        <w:t>政府购买服务实现了“花钱养人”向“花钱办事”的转变，绩效考核与费用支付直接挂钩，有效激励企业提升服务质量。</w:t>
      </w:r>
    </w:p>
    <w:p w14:paraId="66CADF29">
      <w:pPr>
        <w:pStyle w:val="5"/>
        <w:ind w:firstLine="562"/>
        <w:rPr>
          <w:rFonts w:hint="eastAsia" w:ascii="仿宋_GB2312"/>
          <w:szCs w:val="28"/>
        </w:rPr>
      </w:pPr>
      <w:r>
        <w:rPr>
          <w:rFonts w:hint="eastAsia" w:ascii="仿宋_GB2312"/>
          <w:b/>
          <w:bCs/>
          <w:szCs w:val="28"/>
        </w:rPr>
        <w:t>第四，服务灵活高效。</w:t>
      </w:r>
      <w:r>
        <w:rPr>
          <w:rFonts w:hint="eastAsia" w:ascii="仿宋_GB2312"/>
          <w:szCs w:val="28"/>
        </w:rPr>
        <w:t>较短的合同周期使政府能够根据财政状况和服务质量变化适时调整，保持市场活力和竞争态势。</w:t>
      </w:r>
    </w:p>
    <w:p w14:paraId="24C88EA4">
      <w:pPr>
        <w:pStyle w:val="5"/>
        <w:ind w:firstLine="562"/>
        <w:rPr>
          <w:rFonts w:hint="eastAsia" w:ascii="仿宋_GB2312"/>
          <w:szCs w:val="28"/>
        </w:rPr>
      </w:pPr>
      <w:r>
        <w:rPr>
          <w:rFonts w:hint="eastAsia" w:ascii="仿宋_GB2312"/>
          <w:b/>
          <w:bCs/>
          <w:szCs w:val="28"/>
        </w:rPr>
        <w:t>第五，实践成效显著。</w:t>
      </w:r>
      <w:r>
        <w:rPr>
          <w:rFonts w:hint="eastAsia" w:ascii="仿宋_GB2312"/>
          <w:szCs w:val="28"/>
        </w:rPr>
        <w:t>从南丹县、珙泉镇、孝感市、汉川市到张掖市山丹县，政府购买服务模式已在多地取得明显成效，有效改善了城乡人居环境，提升了财政资金使用效益。</w:t>
      </w:r>
    </w:p>
    <w:p w14:paraId="164090AB">
      <w:pPr>
        <w:pStyle w:val="5"/>
        <w:ind w:left="0" w:leftChars="0" w:firstLine="0" w:firstLineChars="0"/>
        <w:rPr>
          <w:rFonts w:hint="eastAsia" w:ascii="仿宋_GB2312"/>
          <w:b/>
          <w:bCs/>
          <w:szCs w:val="28"/>
        </w:rPr>
      </w:pPr>
    </w:p>
    <w:p w14:paraId="68638C28">
      <w:pPr>
        <w:pStyle w:val="5"/>
        <w:ind w:firstLine="562"/>
        <w:rPr>
          <w:rFonts w:hint="eastAsia" w:ascii="仿宋_GB2312"/>
          <w:b/>
          <w:bCs/>
          <w:szCs w:val="28"/>
          <w:lang w:val="en-US" w:eastAsia="zh-CN"/>
        </w:rPr>
      </w:pPr>
      <w:r>
        <w:rPr>
          <w:rFonts w:hint="eastAsia" w:ascii="仿宋_GB2312"/>
          <w:b/>
          <w:bCs/>
          <w:szCs w:val="28"/>
          <w:lang w:val="en-US" w:eastAsia="zh-CN"/>
        </w:rPr>
        <w:t>注：本部分为法律适用及采购程序定性条款，作为第六部分分析结论后的法律定性说明，后续招标及合同签订应以本条款确定的法律适用为准。</w:t>
      </w:r>
    </w:p>
    <w:p w14:paraId="5EAE9CEB">
      <w:pPr>
        <w:pStyle w:val="5"/>
        <w:ind w:firstLine="562"/>
        <w:rPr>
          <w:rFonts w:hint="eastAsia" w:ascii="仿宋_GB2312"/>
          <w:b/>
          <w:bCs/>
          <w:szCs w:val="28"/>
        </w:rPr>
      </w:pPr>
      <w:r>
        <w:rPr>
          <w:rFonts w:hint="eastAsia" w:ascii="仿宋_GB2312"/>
          <w:b/>
          <w:bCs/>
          <w:szCs w:val="28"/>
        </w:rPr>
        <w:t>本项目采购方式及法律适用说明</w:t>
      </w:r>
    </w:p>
    <w:p w14:paraId="4942115F">
      <w:pPr>
        <w:pStyle w:val="5"/>
        <w:ind w:firstLine="562"/>
        <w:rPr>
          <w:rFonts w:hint="eastAsia" w:ascii="仿宋_GB2312"/>
          <w:szCs w:val="28"/>
        </w:rPr>
      </w:pPr>
      <w:r>
        <w:rPr>
          <w:rFonts w:hint="eastAsia" w:ascii="仿宋_GB2312"/>
          <w:szCs w:val="28"/>
        </w:rPr>
        <w:t>本项目在确定采用</w:t>
      </w:r>
      <w:r>
        <w:rPr>
          <w:rFonts w:hint="eastAsia" w:ascii="仿宋_GB2312"/>
          <w:b/>
          <w:bCs/>
          <w:szCs w:val="28"/>
        </w:rPr>
        <w:t>政府购买服务模式</w:t>
      </w:r>
      <w:r>
        <w:rPr>
          <w:rFonts w:hint="eastAsia" w:ascii="仿宋_GB2312"/>
          <w:szCs w:val="28"/>
        </w:rPr>
        <w:t>后，将严格按照《中华人民共和国政府采购法》及《政府购买服务管理办法》（财政部令第102号）等相关法律法规，通过公开招标等公平竞争方式择优确定承接主体。招标文件编制、信息发布、评标定标等全流程依法依规进行，确保各类市场主体平等参与竞争，严禁以任何形式直接指定或变相指定特定经营者。</w:t>
      </w:r>
    </w:p>
    <w:p w14:paraId="4CFFF595">
      <w:pPr>
        <w:pStyle w:val="5"/>
        <w:ind w:firstLine="562"/>
        <w:rPr>
          <w:rFonts w:hint="eastAsia" w:ascii="仿宋_GB2312"/>
          <w:szCs w:val="28"/>
          <w:lang w:eastAsia="zh-CN"/>
        </w:rPr>
      </w:pPr>
      <w:r>
        <w:rPr>
          <w:rFonts w:hint="eastAsia" w:ascii="仿宋_GB2312"/>
          <w:b/>
          <w:bCs/>
          <w:szCs w:val="28"/>
        </w:rPr>
        <w:t>法律适用说明：</w:t>
      </w:r>
      <w:r>
        <w:rPr>
          <w:rFonts w:hint="eastAsia" w:ascii="仿宋_GB2312"/>
          <w:szCs w:val="28"/>
        </w:rPr>
        <w:t>本项目属于不涉及工程建设的纯服务类采购，依据《政府采购法》第二条及《政府购买服务管理办法》第二条之规定，适用《中华人民共和国政府采购法》及其实施条例，接受财政部门监管。本项目不涉及《中华人民共和国招标投标法》及其实施条例所规定的依法必须招标的工程建设项目，亦不属于特许经营范畴。</w:t>
      </w:r>
    </w:p>
    <w:p w14:paraId="7DFA3A1E">
      <w:pPr>
        <w:pStyle w:val="2"/>
      </w:pPr>
      <w:bookmarkStart w:id="45" w:name="_Toc5659"/>
      <w:r>
        <w:rPr>
          <w:rFonts w:hint="eastAsia"/>
        </w:rPr>
        <w:t>七、项目实施预算及资金保障</w:t>
      </w:r>
      <w:bookmarkEnd w:id="45"/>
    </w:p>
    <w:p w14:paraId="05D22E59">
      <w:pPr>
        <w:pStyle w:val="5"/>
        <w:ind w:firstLine="560"/>
        <w:rPr>
          <w:rFonts w:hint="eastAsia" w:ascii="仿宋_GB2312"/>
          <w:szCs w:val="28"/>
          <w:lang w:val="en-US" w:eastAsia="zh-CN"/>
        </w:rPr>
      </w:pPr>
      <w:r>
        <w:rPr>
          <w:rFonts w:hint="eastAsia" w:ascii="仿宋_GB2312"/>
        </w:rPr>
        <w:t>1、本项目为托里县公共服务领域</w:t>
      </w:r>
      <w:r>
        <w:rPr>
          <w:rFonts w:hint="eastAsia" w:ascii="仿宋_GB2312"/>
          <w:b/>
          <w:bCs/>
        </w:rPr>
        <w:t>首轮市场化改革项目</w:t>
      </w:r>
      <w:r>
        <w:rPr>
          <w:rFonts w:hint="eastAsia" w:ascii="仿宋_GB2312"/>
        </w:rPr>
        <w:t>，按照</w:t>
      </w:r>
      <w:r>
        <w:rPr>
          <w:rFonts w:hint="eastAsia" w:ascii="仿宋_GB2312"/>
          <w:b/>
          <w:bCs/>
        </w:rPr>
        <w:t>先行先试</w:t>
      </w:r>
      <w:r>
        <w:rPr>
          <w:rFonts w:hint="eastAsia" w:ascii="仿宋_GB2312"/>
        </w:rPr>
        <w:t>原则，近三年费用</w:t>
      </w:r>
      <w:r>
        <w:rPr>
          <w:rFonts w:hint="eastAsia" w:ascii="仿宋_GB2312"/>
          <w:szCs w:val="28"/>
          <w:lang w:val="en-US" w:eastAsia="zh-CN"/>
        </w:rPr>
        <w:t>支出年均36227872.07万元（以2025年在职在编人员工资13750265.4元为参照，其它各类支出为22477607.3），后续具体年度运营服务费用，实际以第三方核算情况为准。</w:t>
      </w:r>
    </w:p>
    <w:p w14:paraId="579FA7B6">
      <w:pPr>
        <w:ind w:firstLine="560" w:firstLineChars="200"/>
        <w:rPr>
          <w:rFonts w:ascii="仿宋_GB2312" w:eastAsia="仿宋_GB2312"/>
        </w:rPr>
      </w:pPr>
      <w:r>
        <w:rPr>
          <w:rFonts w:hint="eastAsia" w:ascii="仿宋_GB2312" w:eastAsia="仿宋_GB2312"/>
        </w:rPr>
        <w:t>2、</w:t>
      </w:r>
      <w:r>
        <w:rPr>
          <w:rFonts w:hint="eastAsia" w:ascii="仿宋_GB2312" w:hAnsi="宋体" w:eastAsia="仿宋_GB2312" w:cs="Calibri"/>
        </w:rPr>
        <w:t>政府购买服务是政府采购的重要组成部分，</w:t>
      </w:r>
      <w:r>
        <w:rPr>
          <w:rFonts w:hint="eastAsia" w:ascii="仿宋_GB2312" w:hAnsi="宋体" w:eastAsia="仿宋_GB2312" w:cs="Calibri"/>
          <w:b/>
          <w:bCs/>
        </w:rPr>
        <w:t>核心是以财政性资金支付</w:t>
      </w:r>
      <w:r>
        <w:rPr>
          <w:rFonts w:hint="eastAsia" w:ascii="仿宋_GB2312" w:hAnsi="宋体" w:eastAsia="仿宋_GB2312" w:cs="Calibri"/>
        </w:rPr>
        <w:t>。依据《政府购买服务管理办法》（财政部令第 102 号）规定，政府购买服务资金须来源于财政预算安排，并在部门预算中统筹保障。建议将本项目经费</w:t>
      </w:r>
      <w:r>
        <w:rPr>
          <w:rFonts w:hint="eastAsia" w:ascii="仿宋_GB2312" w:hAnsi="宋体" w:eastAsia="仿宋_GB2312" w:cs="Calibri"/>
          <w:b/>
          <w:bCs/>
        </w:rPr>
        <w:t>纳入托里县年度财政预算</w:t>
      </w:r>
      <w:r>
        <w:rPr>
          <w:rFonts w:hint="eastAsia" w:ascii="仿宋_GB2312" w:hAnsi="宋体" w:eastAsia="仿宋_GB2312" w:cs="Calibri"/>
        </w:rPr>
        <w:t>，按期足额拨付，保障市场化改革工作顺利推进。</w:t>
      </w:r>
    </w:p>
    <w:p w14:paraId="57F19065">
      <w:pPr>
        <w:pStyle w:val="2"/>
      </w:pPr>
      <w:bookmarkStart w:id="46" w:name="_Toc3657"/>
      <w:r>
        <w:rPr>
          <w:rFonts w:hint="eastAsia"/>
        </w:rPr>
        <w:t>八、费用支付</w:t>
      </w:r>
      <w:bookmarkEnd w:id="46"/>
    </w:p>
    <w:p w14:paraId="145F6898">
      <w:pPr>
        <w:ind w:firstLine="560" w:firstLineChars="200"/>
        <w:rPr>
          <w:rFonts w:ascii="仿宋_GB2312" w:hAnsi="宋体" w:eastAsia="仿宋_GB2312" w:cs="Calibri"/>
        </w:rPr>
      </w:pPr>
      <w:r>
        <w:rPr>
          <w:rFonts w:ascii="仿宋_GB2312" w:hAnsi="宋体" w:eastAsia="仿宋_GB2312" w:cs="Calibri"/>
        </w:rPr>
        <w:t>项目服务费实行按月核算、按月考核、按月支付。运营单位每月服务质量由甲方（或监管单位）依据考核标准进行综合评定，根据考核结果确定当月实际应付费用，</w:t>
      </w:r>
      <w:r>
        <w:rPr>
          <w:rFonts w:hint="eastAsia" w:ascii="仿宋_GB2312" w:hAnsi="宋体" w:eastAsia="仿宋_GB2312" w:cs="Calibri"/>
        </w:rPr>
        <w:t>根据绩效考核结果</w:t>
      </w:r>
      <w:r>
        <w:rPr>
          <w:rFonts w:ascii="仿宋_GB2312" w:hAnsi="宋体" w:eastAsia="仿宋_GB2312" w:cs="Calibri"/>
        </w:rPr>
        <w:t>，由甲方按程序</w:t>
      </w:r>
      <w:r>
        <w:rPr>
          <w:rFonts w:hint="eastAsia" w:ascii="仿宋_GB2312" w:hAnsi="宋体" w:eastAsia="仿宋_GB2312" w:cs="Calibri"/>
        </w:rPr>
        <w:t>向运营单位在次月支付上月的运营费用</w:t>
      </w:r>
      <w:r>
        <w:rPr>
          <w:rFonts w:ascii="仿宋_GB2312" w:hAnsi="宋体" w:eastAsia="仿宋_GB2312" w:cs="Calibri"/>
        </w:rPr>
        <w:t>，确保资金及时到位、服务质量可控、市场化运行规范高效。</w:t>
      </w:r>
    </w:p>
    <w:p w14:paraId="376CF463">
      <w:pPr>
        <w:ind w:firstLine="560" w:firstLineChars="200"/>
        <w:rPr>
          <w:rFonts w:hint="eastAsia" w:ascii="仿宋_GB2312" w:hAnsi="宋体" w:eastAsia="仿宋_GB2312" w:cs="Calibri"/>
          <w:b w:val="0"/>
          <w:bCs w:val="0"/>
        </w:rPr>
      </w:pPr>
      <w:r>
        <w:rPr>
          <w:rFonts w:hint="eastAsia" w:ascii="仿宋_GB2312" w:hAnsi="宋体" w:eastAsia="仿宋_GB2312" w:cs="Calibri"/>
          <w:b w:val="0"/>
          <w:bCs w:val="0"/>
        </w:rPr>
        <w:t>月运营服务费用=年服务费用÷12个月-考核扣款费用</w:t>
      </w:r>
    </w:p>
    <w:p w14:paraId="2304C583">
      <w:pPr>
        <w:ind w:firstLine="562" w:firstLineChars="200"/>
        <w:rPr>
          <w:rFonts w:hint="eastAsia" w:ascii="仿宋_GB2312" w:hAnsi="宋体" w:eastAsia="仿宋_GB2312" w:cs="Calibri"/>
          <w:b/>
          <w:bCs/>
        </w:rPr>
      </w:pPr>
      <w:r>
        <w:rPr>
          <w:rFonts w:hint="eastAsia" w:ascii="仿宋_GB2312" w:hAnsi="宋体" w:eastAsia="仿宋_GB2312" w:cs="Calibri"/>
          <w:b/>
          <w:bCs/>
          <w:lang w:val="en-US" w:eastAsia="zh-CN"/>
        </w:rPr>
        <w:t>注：</w:t>
      </w:r>
      <w:r>
        <w:rPr>
          <w:rFonts w:hint="eastAsia" w:ascii="仿宋_GB2312" w:hAnsi="宋体" w:eastAsia="仿宋_GB2312" w:cs="Calibri"/>
          <w:b/>
          <w:bCs/>
        </w:rPr>
        <w:t>因人大预算审批或国库集中支付等法定财政程序导致的付款延迟，甲方不承担违约责任，但甲方应积极协调加快流程，并在相关程序完成后及时拨付。</w:t>
      </w:r>
    </w:p>
    <w:p w14:paraId="6FEDBEDD">
      <w:pPr>
        <w:pStyle w:val="2"/>
        <w:rPr>
          <w:rFonts w:hint="eastAsia"/>
          <w:lang w:val="en-US" w:eastAsia="zh-CN"/>
        </w:rPr>
      </w:pPr>
      <w:bookmarkStart w:id="47" w:name="_Toc24463"/>
      <w:r>
        <w:rPr>
          <w:rFonts w:hint="eastAsia"/>
          <w:lang w:val="en-US" w:eastAsia="zh-CN"/>
        </w:rPr>
        <w:t>九、招标文件编制及评审原则</w:t>
      </w:r>
      <w:bookmarkEnd w:id="47"/>
    </w:p>
    <w:p w14:paraId="4D124BAC">
      <w:pPr>
        <w:ind w:firstLine="560" w:firstLineChars="200"/>
        <w:rPr>
          <w:rFonts w:hint="eastAsia" w:ascii="仿宋_GB2312" w:hAnsi="宋体" w:eastAsia="仿宋_GB2312" w:cs="Calibri"/>
          <w:lang w:val="en-US" w:eastAsia="zh-CN"/>
        </w:rPr>
      </w:pPr>
      <w:r>
        <w:rPr>
          <w:rFonts w:hint="eastAsia" w:ascii="仿宋_GB2312" w:hAnsi="宋体" w:eastAsia="仿宋_GB2312" w:cs="Calibri"/>
          <w:lang w:val="en-US" w:eastAsia="zh-CN"/>
        </w:rPr>
        <w:t>后续编制招标文件及评审时，对投标人拟投入设备的评审</w:t>
      </w:r>
      <w:r>
        <w:rPr>
          <w:rFonts w:hint="eastAsia" w:ascii="仿宋_GB2312" w:hAnsi="宋体" w:eastAsia="仿宋_GB2312" w:cs="Calibri"/>
          <w:b/>
          <w:bCs/>
          <w:lang w:val="en-US" w:eastAsia="zh-CN"/>
        </w:rPr>
        <w:t>仅考核设备总数量、主要技术参数、排放标准、使用年限等客观指标是否满足作业需求，不得</w:t>
      </w:r>
      <w:r>
        <w:rPr>
          <w:rFonts w:hint="eastAsia" w:ascii="仿宋_GB2312" w:hAnsi="宋体" w:eastAsia="仿宋_GB2312" w:cs="Calibri"/>
          <w:lang w:val="en-US" w:eastAsia="zh-CN"/>
        </w:rPr>
        <w:t>因设备的来源方式（租赁政府存量资产或投标人自有/新购）而设置差异化评分标准或权重。</w:t>
      </w:r>
    </w:p>
    <w:p w14:paraId="3AE02EF8">
      <w:pPr>
        <w:ind w:firstLine="560" w:firstLineChars="200"/>
        <w:rPr>
          <w:rFonts w:hint="eastAsia" w:ascii="仿宋_GB2312" w:hAnsi="宋体" w:eastAsia="仿宋_GB2312" w:cs="Calibri"/>
          <w:lang w:val="en-US" w:eastAsia="zh-CN"/>
        </w:rPr>
      </w:pPr>
      <w:r>
        <w:rPr>
          <w:rFonts w:hint="eastAsia" w:ascii="仿宋_GB2312" w:hAnsi="宋体" w:eastAsia="仿宋_GB2312" w:cs="Calibri"/>
          <w:lang w:val="en-US" w:eastAsia="zh-CN"/>
        </w:rPr>
        <w:t>后续招标文件中对投标人业绩的评审，应面向全国市场，</w:t>
      </w:r>
      <w:r>
        <w:rPr>
          <w:rFonts w:hint="eastAsia" w:ascii="仿宋_GB2312" w:hAnsi="宋体" w:eastAsia="仿宋_GB2312" w:cs="Calibri"/>
          <w:b/>
          <w:bCs/>
          <w:lang w:val="en-US" w:eastAsia="zh-CN"/>
        </w:rPr>
        <w:t>不得</w:t>
      </w:r>
      <w:r>
        <w:rPr>
          <w:rFonts w:hint="eastAsia" w:ascii="仿宋_GB2312" w:hAnsi="宋体" w:eastAsia="仿宋_GB2312" w:cs="Calibri"/>
          <w:lang w:val="en-US" w:eastAsia="zh-CN"/>
        </w:rPr>
        <w:t>将特定行政区域（如托里县、塔城地区、新疆维吾尔自治区）的业绩作为加分条件或资格条件。评分时应综合考虑项目规模、服务内容相似性、履约评价等客观因素，确保不同地域的供应商享有平等的得分机会。</w:t>
      </w:r>
    </w:p>
    <w:p w14:paraId="3F3C3C82">
      <w:pPr>
        <w:pStyle w:val="2"/>
      </w:pPr>
      <w:bookmarkStart w:id="48" w:name="_Toc29633"/>
      <w:r>
        <w:rPr>
          <w:rFonts w:hint="eastAsia"/>
          <w:lang w:val="en-US" w:eastAsia="zh-CN"/>
        </w:rPr>
        <w:t>十</w:t>
      </w:r>
      <w:r>
        <w:rPr>
          <w:rFonts w:hint="eastAsia"/>
        </w:rPr>
        <w:t>、作业标准及质量要求</w:t>
      </w:r>
      <w:bookmarkEnd w:id="48"/>
    </w:p>
    <w:p w14:paraId="354606A2">
      <w:pPr>
        <w:pStyle w:val="3"/>
        <w:ind w:firstLine="321"/>
      </w:pPr>
      <w:bookmarkStart w:id="49" w:name="_Toc16078"/>
      <w:r>
        <w:rPr>
          <w:rFonts w:hint="eastAsia"/>
        </w:rPr>
        <w:t>（一）</w:t>
      </w:r>
      <w:r>
        <w:t>道路清扫保洁作业质量标准与作业要求</w:t>
      </w:r>
      <w:bookmarkEnd w:id="49"/>
    </w:p>
    <w:p w14:paraId="249C089E">
      <w:pPr>
        <w:pStyle w:val="5"/>
        <w:ind w:firstLine="560"/>
        <w:rPr>
          <w:rFonts w:hint="eastAsia"/>
        </w:rPr>
      </w:pPr>
      <w:r>
        <w:rPr>
          <w:rFonts w:hint="eastAsia"/>
        </w:rPr>
        <w:t>1、道路清扫保洁质量标准应达到整体洁净，路见本色、标线清晰、设施整洁。落实“路面无土绺，车过无扬尘”，达到“八无八净”标准， “八无”即：无烟蒂白色垃圾、无果皮纸屑、无杂物堆积、无积泥沙石、无积水污渍、无人畜粪便、无扫漏、无非法小广告；“八净”即：路面干净、绿化隔离带树穴干净、墙根净、边坡净、便石干净、隔离护栏（杆）净、排水沟槽干净、果皮箱等环卫设施干净。</w:t>
      </w:r>
    </w:p>
    <w:p w14:paraId="49A344D3">
      <w:pPr>
        <w:pStyle w:val="5"/>
        <w:ind w:firstLine="0" w:firstLineChars="0"/>
        <w:jc w:val="center"/>
        <w:rPr>
          <w:rFonts w:hint="eastAsia"/>
        </w:rPr>
      </w:pPr>
      <w:r>
        <w:rPr>
          <w:rFonts w:hint="eastAsia"/>
        </w:rPr>
        <w:t>一至四级道路路面废弃物控制指标应符合下表规定</w:t>
      </w:r>
    </w:p>
    <w:tbl>
      <w:tblPr>
        <w:tblStyle w:val="31"/>
        <w:tblW w:w="9450" w:type="dxa"/>
        <w:jc w:val="center"/>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38"/>
        <w:gridCol w:w="1024"/>
        <w:gridCol w:w="1363"/>
        <w:gridCol w:w="1297"/>
        <w:gridCol w:w="1297"/>
        <w:gridCol w:w="1069"/>
        <w:gridCol w:w="1248"/>
        <w:gridCol w:w="1314"/>
      </w:tblGrid>
      <w:tr w14:paraId="78BB3784">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30" w:hRule="atLeast"/>
          <w:jc w:val="center"/>
        </w:trPr>
        <w:tc>
          <w:tcPr>
            <w:tcW w:w="83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3046BEB9">
            <w:pPr>
              <w:pStyle w:val="5"/>
              <w:spacing w:line="240" w:lineRule="auto"/>
              <w:ind w:firstLine="0" w:firstLineChars="0"/>
              <w:jc w:val="center"/>
              <w:rPr>
                <w:rFonts w:hint="eastAsia" w:ascii="仿宋_GB2312"/>
                <w:sz w:val="24"/>
              </w:rPr>
            </w:pPr>
            <w:r>
              <w:rPr>
                <w:rFonts w:hint="eastAsia" w:ascii="仿宋_GB2312"/>
                <w:sz w:val="24"/>
              </w:rPr>
              <w:t>保洁</w:t>
            </w:r>
          </w:p>
          <w:p w14:paraId="5DA51F00">
            <w:pPr>
              <w:pStyle w:val="5"/>
              <w:spacing w:line="240" w:lineRule="auto"/>
              <w:ind w:firstLine="0" w:firstLineChars="0"/>
              <w:jc w:val="center"/>
              <w:rPr>
                <w:rFonts w:hint="eastAsia" w:ascii="仿宋_GB2312"/>
                <w:sz w:val="24"/>
              </w:rPr>
            </w:pPr>
            <w:r>
              <w:rPr>
                <w:rFonts w:hint="eastAsia" w:ascii="仿宋_GB2312"/>
                <w:sz w:val="24"/>
              </w:rPr>
              <w:t>等级</w:t>
            </w:r>
          </w:p>
        </w:tc>
        <w:tc>
          <w:tcPr>
            <w:tcW w:w="102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891D123">
            <w:pPr>
              <w:pStyle w:val="5"/>
              <w:spacing w:line="240" w:lineRule="auto"/>
              <w:ind w:firstLine="0" w:firstLineChars="0"/>
              <w:jc w:val="center"/>
              <w:rPr>
                <w:rFonts w:hint="eastAsia" w:ascii="仿宋_GB2312"/>
                <w:sz w:val="24"/>
              </w:rPr>
            </w:pPr>
            <w:r>
              <w:rPr>
                <w:rFonts w:hint="eastAsia" w:ascii="仿宋_GB2312"/>
                <w:sz w:val="24"/>
              </w:rPr>
              <w:t>果皮</w:t>
            </w:r>
          </w:p>
          <w:p w14:paraId="280E5195">
            <w:pPr>
              <w:pStyle w:val="5"/>
              <w:spacing w:line="240" w:lineRule="auto"/>
              <w:ind w:firstLine="0" w:firstLineChars="0"/>
              <w:jc w:val="center"/>
              <w:rPr>
                <w:rFonts w:hint="eastAsia" w:ascii="仿宋_GB2312"/>
                <w:sz w:val="24"/>
              </w:rPr>
            </w:pPr>
            <w:r>
              <w:rPr>
                <w:rFonts w:hint="eastAsia" w:ascii="仿宋_GB2312"/>
                <w:sz w:val="24"/>
              </w:rPr>
              <w:t>片/1000</w:t>
            </w:r>
            <w:r>
              <w:rPr>
                <w:rFonts w:hint="eastAsia" w:ascii="微软雅黑" w:hAnsi="微软雅黑" w:eastAsia="微软雅黑" w:cs="微软雅黑"/>
                <w:sz w:val="24"/>
              </w:rPr>
              <w:t>㎡</w:t>
            </w:r>
          </w:p>
        </w:tc>
        <w:tc>
          <w:tcPr>
            <w:tcW w:w="1363"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499A6AAD">
            <w:pPr>
              <w:pStyle w:val="5"/>
              <w:spacing w:line="240" w:lineRule="auto"/>
              <w:ind w:firstLine="0" w:firstLineChars="0"/>
              <w:jc w:val="center"/>
              <w:rPr>
                <w:rFonts w:hint="eastAsia" w:ascii="仿宋_GB2312"/>
                <w:sz w:val="24"/>
              </w:rPr>
            </w:pPr>
            <w:r>
              <w:rPr>
                <w:rFonts w:hint="eastAsia" w:ascii="仿宋_GB2312"/>
                <w:sz w:val="24"/>
              </w:rPr>
              <w:t>纸屑、塑膜</w:t>
            </w:r>
          </w:p>
          <w:p w14:paraId="226ECE3C">
            <w:pPr>
              <w:pStyle w:val="5"/>
              <w:spacing w:line="240" w:lineRule="auto"/>
              <w:ind w:firstLine="0" w:firstLineChars="0"/>
              <w:jc w:val="center"/>
              <w:rPr>
                <w:rFonts w:hint="eastAsia" w:ascii="仿宋_GB2312"/>
                <w:sz w:val="24"/>
              </w:rPr>
            </w:pPr>
            <w:r>
              <w:rPr>
                <w:rFonts w:hint="eastAsia" w:ascii="仿宋_GB2312"/>
                <w:sz w:val="24"/>
              </w:rPr>
              <w:t>片/1000</w:t>
            </w:r>
            <w:r>
              <w:rPr>
                <w:rFonts w:hint="eastAsia" w:ascii="微软雅黑" w:hAnsi="微软雅黑" w:eastAsia="微软雅黑" w:cs="微软雅黑"/>
                <w:sz w:val="24"/>
              </w:rPr>
              <w:t>㎡</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777A4266">
            <w:pPr>
              <w:pStyle w:val="5"/>
              <w:spacing w:line="240" w:lineRule="auto"/>
              <w:ind w:firstLine="0" w:firstLineChars="0"/>
              <w:jc w:val="center"/>
              <w:rPr>
                <w:rFonts w:hint="eastAsia" w:ascii="仿宋_GB2312"/>
                <w:sz w:val="24"/>
              </w:rPr>
            </w:pPr>
            <w:r>
              <w:rPr>
                <w:rFonts w:hint="eastAsia" w:ascii="仿宋_GB2312"/>
                <w:sz w:val="24"/>
              </w:rPr>
              <w:t>烟蒂</w:t>
            </w:r>
          </w:p>
          <w:p w14:paraId="4D8E5448">
            <w:pPr>
              <w:pStyle w:val="5"/>
              <w:spacing w:line="240" w:lineRule="auto"/>
              <w:ind w:firstLine="0" w:firstLineChars="0"/>
              <w:jc w:val="center"/>
              <w:rPr>
                <w:rFonts w:hint="eastAsia" w:ascii="仿宋_GB2312"/>
                <w:sz w:val="24"/>
              </w:rPr>
            </w:pPr>
            <w:r>
              <w:rPr>
                <w:rFonts w:hint="eastAsia" w:ascii="仿宋_GB2312"/>
                <w:sz w:val="24"/>
              </w:rPr>
              <w:t>个/1000</w:t>
            </w:r>
            <w:r>
              <w:rPr>
                <w:rFonts w:hint="eastAsia" w:ascii="微软雅黑" w:hAnsi="微软雅黑" w:eastAsia="微软雅黑" w:cs="微软雅黑"/>
                <w:sz w:val="24"/>
              </w:rPr>
              <w:t>㎡</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72443ED4">
            <w:pPr>
              <w:pStyle w:val="5"/>
              <w:spacing w:line="240" w:lineRule="auto"/>
              <w:ind w:firstLine="0" w:firstLineChars="0"/>
              <w:jc w:val="center"/>
              <w:rPr>
                <w:rFonts w:hint="eastAsia" w:ascii="仿宋_GB2312"/>
                <w:sz w:val="24"/>
              </w:rPr>
            </w:pPr>
            <w:r>
              <w:rPr>
                <w:rFonts w:hint="eastAsia" w:ascii="仿宋_GB2312"/>
                <w:sz w:val="24"/>
              </w:rPr>
              <w:t>痰迹</w:t>
            </w:r>
          </w:p>
          <w:p w14:paraId="10BFA354">
            <w:pPr>
              <w:pStyle w:val="5"/>
              <w:spacing w:line="240" w:lineRule="auto"/>
              <w:ind w:firstLine="0" w:firstLineChars="0"/>
              <w:jc w:val="center"/>
              <w:rPr>
                <w:rFonts w:hint="eastAsia" w:ascii="仿宋_GB2312"/>
                <w:sz w:val="24"/>
              </w:rPr>
            </w:pPr>
            <w:r>
              <w:rPr>
                <w:rFonts w:hint="eastAsia" w:ascii="仿宋_GB2312"/>
                <w:sz w:val="24"/>
              </w:rPr>
              <w:t>处/1000</w:t>
            </w:r>
            <w:r>
              <w:rPr>
                <w:rFonts w:hint="eastAsia" w:ascii="微软雅黑" w:hAnsi="微软雅黑" w:eastAsia="微软雅黑" w:cs="微软雅黑"/>
                <w:sz w:val="24"/>
              </w:rPr>
              <w:t>㎡</w:t>
            </w:r>
          </w:p>
        </w:tc>
        <w:tc>
          <w:tcPr>
            <w:tcW w:w="1069"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30B5BD3C">
            <w:pPr>
              <w:pStyle w:val="5"/>
              <w:spacing w:line="240" w:lineRule="auto"/>
              <w:ind w:firstLine="0" w:firstLineChars="0"/>
              <w:jc w:val="center"/>
              <w:rPr>
                <w:rFonts w:hint="eastAsia" w:ascii="仿宋_GB2312"/>
                <w:sz w:val="24"/>
              </w:rPr>
            </w:pPr>
            <w:r>
              <w:rPr>
                <w:rFonts w:hint="eastAsia" w:ascii="仿宋_GB2312"/>
                <w:sz w:val="24"/>
              </w:rPr>
              <w:t>污水</w:t>
            </w:r>
          </w:p>
          <w:p w14:paraId="5BCF20CC">
            <w:pPr>
              <w:pStyle w:val="5"/>
              <w:spacing w:line="240" w:lineRule="auto"/>
              <w:ind w:firstLine="0" w:firstLineChars="0"/>
              <w:jc w:val="center"/>
              <w:rPr>
                <w:rFonts w:hint="eastAsia" w:ascii="仿宋_GB2312"/>
                <w:sz w:val="24"/>
              </w:rPr>
            </w:pPr>
            <w:r>
              <w:rPr>
                <w:rFonts w:hint="eastAsia" w:ascii="仿宋_GB2312"/>
                <w:sz w:val="24"/>
              </w:rPr>
              <w:t>/1000</w:t>
            </w:r>
            <w:r>
              <w:rPr>
                <w:rFonts w:hint="eastAsia" w:ascii="微软雅黑" w:hAnsi="微软雅黑" w:eastAsia="微软雅黑" w:cs="微软雅黑"/>
                <w:sz w:val="24"/>
              </w:rPr>
              <w:t>㎡</w:t>
            </w:r>
          </w:p>
        </w:tc>
        <w:tc>
          <w:tcPr>
            <w:tcW w:w="124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C335F59">
            <w:pPr>
              <w:pStyle w:val="5"/>
              <w:spacing w:line="240" w:lineRule="auto"/>
              <w:ind w:firstLine="0" w:firstLineChars="0"/>
              <w:jc w:val="center"/>
              <w:rPr>
                <w:rFonts w:hint="eastAsia" w:ascii="仿宋_GB2312"/>
                <w:sz w:val="24"/>
              </w:rPr>
            </w:pPr>
            <w:r>
              <w:rPr>
                <w:rFonts w:hint="eastAsia" w:ascii="仿宋_GB2312"/>
                <w:sz w:val="24"/>
              </w:rPr>
              <w:t>尘负荷</w:t>
            </w:r>
          </w:p>
          <w:p w14:paraId="10E3B6D3">
            <w:pPr>
              <w:pStyle w:val="5"/>
              <w:spacing w:line="240" w:lineRule="auto"/>
              <w:ind w:firstLine="0" w:firstLineChars="0"/>
              <w:jc w:val="center"/>
              <w:rPr>
                <w:rFonts w:hint="eastAsia" w:ascii="仿宋_GB2312"/>
                <w:sz w:val="24"/>
              </w:rPr>
            </w:pPr>
            <w:r>
              <w:rPr>
                <w:rFonts w:hint="eastAsia" w:ascii="仿宋_GB2312"/>
                <w:sz w:val="24"/>
              </w:rPr>
              <w:t>（克/m2）</w:t>
            </w:r>
          </w:p>
        </w:tc>
        <w:tc>
          <w:tcPr>
            <w:tcW w:w="131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196E5686">
            <w:pPr>
              <w:pStyle w:val="5"/>
              <w:spacing w:line="240" w:lineRule="auto"/>
              <w:ind w:firstLine="0" w:firstLineChars="0"/>
              <w:jc w:val="center"/>
              <w:rPr>
                <w:rFonts w:hint="eastAsia" w:ascii="仿宋_GB2312"/>
                <w:sz w:val="24"/>
              </w:rPr>
            </w:pPr>
            <w:r>
              <w:rPr>
                <w:rFonts w:hint="eastAsia" w:ascii="仿宋_GB2312"/>
                <w:sz w:val="24"/>
              </w:rPr>
              <w:t>其它</w:t>
            </w:r>
          </w:p>
          <w:p w14:paraId="3D4DCC1F">
            <w:pPr>
              <w:pStyle w:val="5"/>
              <w:spacing w:line="240" w:lineRule="auto"/>
              <w:ind w:firstLine="0" w:firstLineChars="0"/>
              <w:jc w:val="center"/>
              <w:rPr>
                <w:rFonts w:hint="eastAsia" w:ascii="仿宋_GB2312"/>
                <w:sz w:val="24"/>
              </w:rPr>
            </w:pPr>
            <w:r>
              <w:rPr>
                <w:rFonts w:hint="eastAsia" w:ascii="仿宋_GB2312"/>
                <w:sz w:val="24"/>
              </w:rPr>
              <w:t>处/1000</w:t>
            </w:r>
            <w:r>
              <w:rPr>
                <w:rFonts w:hint="eastAsia" w:ascii="微软雅黑" w:hAnsi="微软雅黑" w:eastAsia="微软雅黑" w:cs="微软雅黑"/>
                <w:sz w:val="24"/>
              </w:rPr>
              <w:t>㎡</w:t>
            </w:r>
          </w:p>
        </w:tc>
      </w:tr>
      <w:tr w14:paraId="45B68E28">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07" w:hRule="atLeast"/>
          <w:jc w:val="center"/>
        </w:trPr>
        <w:tc>
          <w:tcPr>
            <w:tcW w:w="83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76D202E8">
            <w:pPr>
              <w:pStyle w:val="5"/>
              <w:spacing w:line="240" w:lineRule="auto"/>
              <w:ind w:firstLine="0" w:firstLineChars="0"/>
              <w:jc w:val="center"/>
              <w:rPr>
                <w:rFonts w:hint="eastAsia" w:ascii="仿宋_GB2312"/>
                <w:sz w:val="24"/>
              </w:rPr>
            </w:pPr>
            <w:r>
              <w:rPr>
                <w:rFonts w:hint="eastAsia" w:ascii="仿宋_GB2312"/>
                <w:sz w:val="24"/>
              </w:rPr>
              <w:t>一级</w:t>
            </w:r>
          </w:p>
        </w:tc>
        <w:tc>
          <w:tcPr>
            <w:tcW w:w="102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4A9074F2">
            <w:pPr>
              <w:pStyle w:val="5"/>
              <w:spacing w:line="240" w:lineRule="auto"/>
              <w:ind w:firstLine="0" w:firstLineChars="0"/>
              <w:jc w:val="center"/>
              <w:rPr>
                <w:rFonts w:hint="eastAsia" w:ascii="仿宋_GB2312"/>
                <w:sz w:val="24"/>
              </w:rPr>
            </w:pPr>
            <w:r>
              <w:rPr>
                <w:rFonts w:hint="eastAsia" w:ascii="仿宋_GB2312"/>
                <w:sz w:val="24"/>
              </w:rPr>
              <w:t>≤4</w:t>
            </w:r>
          </w:p>
        </w:tc>
        <w:tc>
          <w:tcPr>
            <w:tcW w:w="1363"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7F4A78A">
            <w:pPr>
              <w:pStyle w:val="5"/>
              <w:spacing w:line="240" w:lineRule="auto"/>
              <w:ind w:firstLine="0" w:firstLineChars="0"/>
              <w:jc w:val="center"/>
              <w:rPr>
                <w:rFonts w:hint="eastAsia" w:ascii="仿宋_GB2312"/>
                <w:sz w:val="24"/>
              </w:rPr>
            </w:pPr>
            <w:r>
              <w:rPr>
                <w:rFonts w:hint="eastAsia" w:ascii="仿宋_GB2312"/>
                <w:sz w:val="24"/>
              </w:rPr>
              <w:t>≤4</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3875F8BE">
            <w:pPr>
              <w:pStyle w:val="5"/>
              <w:spacing w:line="240" w:lineRule="auto"/>
              <w:ind w:firstLine="0" w:firstLineChars="0"/>
              <w:jc w:val="center"/>
              <w:rPr>
                <w:rFonts w:hint="eastAsia" w:ascii="仿宋_GB2312"/>
                <w:sz w:val="24"/>
              </w:rPr>
            </w:pPr>
            <w:r>
              <w:rPr>
                <w:rFonts w:hint="eastAsia" w:ascii="仿宋_GB2312"/>
                <w:sz w:val="24"/>
              </w:rPr>
              <w:t>≤4</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6AE66524">
            <w:pPr>
              <w:pStyle w:val="5"/>
              <w:spacing w:line="240" w:lineRule="auto"/>
              <w:ind w:firstLine="0" w:firstLineChars="0"/>
              <w:jc w:val="center"/>
              <w:rPr>
                <w:rFonts w:hint="eastAsia" w:ascii="仿宋_GB2312"/>
                <w:sz w:val="24"/>
              </w:rPr>
            </w:pPr>
            <w:r>
              <w:rPr>
                <w:rFonts w:hint="eastAsia" w:ascii="仿宋_GB2312"/>
                <w:sz w:val="24"/>
              </w:rPr>
              <w:t>≤4</w:t>
            </w:r>
          </w:p>
        </w:tc>
        <w:tc>
          <w:tcPr>
            <w:tcW w:w="1069"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4DF376A">
            <w:pPr>
              <w:pStyle w:val="5"/>
              <w:spacing w:line="240" w:lineRule="auto"/>
              <w:ind w:firstLine="0" w:firstLineChars="0"/>
              <w:jc w:val="center"/>
              <w:rPr>
                <w:rFonts w:hint="eastAsia" w:ascii="仿宋_GB2312"/>
                <w:sz w:val="24"/>
              </w:rPr>
            </w:pPr>
            <w:r>
              <w:rPr>
                <w:rFonts w:hint="eastAsia" w:ascii="仿宋_GB2312"/>
                <w:sz w:val="24"/>
              </w:rPr>
              <w:t>无</w:t>
            </w:r>
          </w:p>
        </w:tc>
        <w:tc>
          <w:tcPr>
            <w:tcW w:w="124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71EA104">
            <w:pPr>
              <w:pStyle w:val="5"/>
              <w:spacing w:line="240" w:lineRule="auto"/>
              <w:ind w:firstLine="0" w:firstLineChars="0"/>
              <w:jc w:val="center"/>
              <w:rPr>
                <w:rFonts w:hint="eastAsia" w:ascii="仿宋_GB2312"/>
                <w:sz w:val="24"/>
              </w:rPr>
            </w:pPr>
            <w:r>
              <w:rPr>
                <w:rFonts w:hint="eastAsia" w:ascii="仿宋_GB2312"/>
                <w:sz w:val="24"/>
              </w:rPr>
              <w:t>≤10</w:t>
            </w:r>
          </w:p>
        </w:tc>
        <w:tc>
          <w:tcPr>
            <w:tcW w:w="131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5212E6B">
            <w:pPr>
              <w:pStyle w:val="5"/>
              <w:spacing w:line="240" w:lineRule="auto"/>
              <w:ind w:firstLine="0" w:firstLineChars="0"/>
              <w:jc w:val="center"/>
              <w:rPr>
                <w:rFonts w:hint="eastAsia" w:ascii="仿宋_GB2312"/>
                <w:sz w:val="24"/>
              </w:rPr>
            </w:pPr>
            <w:r>
              <w:rPr>
                <w:rFonts w:hint="eastAsia" w:ascii="仿宋_GB2312"/>
                <w:sz w:val="24"/>
              </w:rPr>
              <w:t>无</w:t>
            </w:r>
          </w:p>
        </w:tc>
      </w:tr>
      <w:tr w14:paraId="5502C7F3">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18" w:hRule="atLeast"/>
          <w:jc w:val="center"/>
        </w:trPr>
        <w:tc>
          <w:tcPr>
            <w:tcW w:w="83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65FC4B08">
            <w:pPr>
              <w:pStyle w:val="5"/>
              <w:spacing w:line="240" w:lineRule="auto"/>
              <w:ind w:firstLine="0" w:firstLineChars="0"/>
              <w:jc w:val="center"/>
              <w:rPr>
                <w:rFonts w:hint="eastAsia" w:ascii="仿宋_GB2312"/>
                <w:sz w:val="24"/>
              </w:rPr>
            </w:pPr>
            <w:r>
              <w:rPr>
                <w:rFonts w:hint="eastAsia" w:ascii="仿宋_GB2312"/>
                <w:sz w:val="24"/>
              </w:rPr>
              <w:t>二级</w:t>
            </w:r>
          </w:p>
        </w:tc>
        <w:tc>
          <w:tcPr>
            <w:tcW w:w="102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1EA54084">
            <w:pPr>
              <w:pStyle w:val="5"/>
              <w:spacing w:line="240" w:lineRule="auto"/>
              <w:ind w:firstLine="0" w:firstLineChars="0"/>
              <w:jc w:val="center"/>
              <w:rPr>
                <w:rFonts w:hint="eastAsia" w:ascii="仿宋_GB2312"/>
                <w:sz w:val="24"/>
              </w:rPr>
            </w:pPr>
            <w:r>
              <w:rPr>
                <w:rFonts w:hint="eastAsia" w:ascii="仿宋_GB2312"/>
                <w:sz w:val="24"/>
              </w:rPr>
              <w:t>≤6</w:t>
            </w:r>
          </w:p>
        </w:tc>
        <w:tc>
          <w:tcPr>
            <w:tcW w:w="1363"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6465A7C7">
            <w:pPr>
              <w:pStyle w:val="5"/>
              <w:spacing w:line="240" w:lineRule="auto"/>
              <w:ind w:firstLine="0" w:firstLineChars="0"/>
              <w:jc w:val="center"/>
              <w:rPr>
                <w:rFonts w:hint="eastAsia" w:ascii="仿宋_GB2312"/>
                <w:sz w:val="24"/>
              </w:rPr>
            </w:pPr>
            <w:r>
              <w:rPr>
                <w:rFonts w:hint="eastAsia" w:ascii="仿宋_GB2312"/>
                <w:sz w:val="24"/>
              </w:rPr>
              <w:t>≤6</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7C33ACD5">
            <w:pPr>
              <w:pStyle w:val="5"/>
              <w:spacing w:line="240" w:lineRule="auto"/>
              <w:ind w:firstLine="0" w:firstLineChars="0"/>
              <w:jc w:val="center"/>
              <w:rPr>
                <w:rFonts w:hint="eastAsia" w:ascii="仿宋_GB2312"/>
                <w:sz w:val="24"/>
              </w:rPr>
            </w:pPr>
            <w:r>
              <w:rPr>
                <w:rFonts w:hint="eastAsia" w:ascii="仿宋_GB2312"/>
                <w:sz w:val="24"/>
              </w:rPr>
              <w:t>≤8</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62DBA608">
            <w:pPr>
              <w:pStyle w:val="5"/>
              <w:spacing w:line="240" w:lineRule="auto"/>
              <w:ind w:firstLine="0" w:firstLineChars="0"/>
              <w:jc w:val="center"/>
              <w:rPr>
                <w:rFonts w:hint="eastAsia" w:ascii="仿宋_GB2312"/>
                <w:sz w:val="24"/>
              </w:rPr>
            </w:pPr>
            <w:r>
              <w:rPr>
                <w:rFonts w:hint="eastAsia" w:ascii="仿宋_GB2312"/>
                <w:sz w:val="24"/>
              </w:rPr>
              <w:t>≤8</w:t>
            </w:r>
          </w:p>
        </w:tc>
        <w:tc>
          <w:tcPr>
            <w:tcW w:w="1069"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397A14CF">
            <w:pPr>
              <w:pStyle w:val="5"/>
              <w:spacing w:line="240" w:lineRule="auto"/>
              <w:ind w:firstLine="0" w:firstLineChars="0"/>
              <w:jc w:val="center"/>
              <w:rPr>
                <w:rFonts w:hint="eastAsia" w:ascii="仿宋_GB2312"/>
                <w:sz w:val="24"/>
              </w:rPr>
            </w:pPr>
            <w:r>
              <w:rPr>
                <w:rFonts w:hint="eastAsia" w:ascii="仿宋_GB2312"/>
                <w:sz w:val="24"/>
              </w:rPr>
              <w:t>≤0.5</w:t>
            </w:r>
          </w:p>
        </w:tc>
        <w:tc>
          <w:tcPr>
            <w:tcW w:w="124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5DB103A6">
            <w:pPr>
              <w:pStyle w:val="5"/>
              <w:spacing w:line="240" w:lineRule="auto"/>
              <w:ind w:firstLine="0" w:firstLineChars="0"/>
              <w:jc w:val="center"/>
              <w:rPr>
                <w:rFonts w:hint="eastAsia" w:ascii="仿宋_GB2312"/>
                <w:sz w:val="24"/>
              </w:rPr>
            </w:pPr>
            <w:r>
              <w:rPr>
                <w:rFonts w:hint="eastAsia" w:ascii="仿宋_GB2312"/>
                <w:sz w:val="24"/>
              </w:rPr>
              <w:t>≤15</w:t>
            </w:r>
          </w:p>
        </w:tc>
        <w:tc>
          <w:tcPr>
            <w:tcW w:w="131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4AAF22F8">
            <w:pPr>
              <w:pStyle w:val="5"/>
              <w:spacing w:line="240" w:lineRule="auto"/>
              <w:ind w:firstLine="0" w:firstLineChars="0"/>
              <w:jc w:val="center"/>
              <w:rPr>
                <w:rFonts w:hint="eastAsia" w:ascii="仿宋_GB2312"/>
                <w:sz w:val="24"/>
              </w:rPr>
            </w:pPr>
            <w:r>
              <w:rPr>
                <w:rFonts w:hint="eastAsia" w:ascii="仿宋_GB2312"/>
                <w:sz w:val="24"/>
              </w:rPr>
              <w:t>≤2</w:t>
            </w:r>
          </w:p>
        </w:tc>
      </w:tr>
      <w:tr w14:paraId="5C9AE20C">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07" w:hRule="atLeast"/>
          <w:jc w:val="center"/>
        </w:trPr>
        <w:tc>
          <w:tcPr>
            <w:tcW w:w="83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D17C317">
            <w:pPr>
              <w:pStyle w:val="5"/>
              <w:spacing w:line="240" w:lineRule="auto"/>
              <w:ind w:firstLine="0" w:firstLineChars="0"/>
              <w:jc w:val="center"/>
              <w:rPr>
                <w:rFonts w:hint="eastAsia" w:ascii="仿宋_GB2312"/>
                <w:sz w:val="24"/>
              </w:rPr>
            </w:pPr>
            <w:r>
              <w:rPr>
                <w:rFonts w:hint="eastAsia" w:ascii="仿宋_GB2312"/>
                <w:sz w:val="24"/>
              </w:rPr>
              <w:t>三级</w:t>
            </w:r>
          </w:p>
        </w:tc>
        <w:tc>
          <w:tcPr>
            <w:tcW w:w="102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CC1E69D">
            <w:pPr>
              <w:pStyle w:val="5"/>
              <w:spacing w:line="240" w:lineRule="auto"/>
              <w:ind w:firstLine="0" w:firstLineChars="0"/>
              <w:jc w:val="center"/>
              <w:rPr>
                <w:rFonts w:hint="eastAsia" w:ascii="仿宋_GB2312"/>
                <w:sz w:val="24"/>
              </w:rPr>
            </w:pPr>
            <w:r>
              <w:rPr>
                <w:rFonts w:hint="eastAsia" w:ascii="仿宋_GB2312"/>
                <w:sz w:val="24"/>
              </w:rPr>
              <w:t>≤8</w:t>
            </w:r>
          </w:p>
        </w:tc>
        <w:tc>
          <w:tcPr>
            <w:tcW w:w="1363"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36756CB">
            <w:pPr>
              <w:pStyle w:val="5"/>
              <w:spacing w:line="240" w:lineRule="auto"/>
              <w:ind w:firstLine="0" w:firstLineChars="0"/>
              <w:jc w:val="center"/>
              <w:rPr>
                <w:rFonts w:hint="eastAsia" w:ascii="仿宋_GB2312"/>
                <w:sz w:val="24"/>
              </w:rPr>
            </w:pPr>
            <w:r>
              <w:rPr>
                <w:rFonts w:hint="eastAsia" w:ascii="仿宋_GB2312"/>
                <w:sz w:val="24"/>
              </w:rPr>
              <w:t>≤10</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403FC803">
            <w:pPr>
              <w:pStyle w:val="5"/>
              <w:spacing w:line="240" w:lineRule="auto"/>
              <w:ind w:firstLine="0" w:firstLineChars="0"/>
              <w:jc w:val="center"/>
              <w:rPr>
                <w:rFonts w:hint="eastAsia" w:ascii="仿宋_GB2312"/>
                <w:sz w:val="24"/>
              </w:rPr>
            </w:pPr>
            <w:r>
              <w:rPr>
                <w:rFonts w:hint="eastAsia" w:ascii="仿宋_GB2312"/>
                <w:sz w:val="24"/>
              </w:rPr>
              <w:t>≤10</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FA9CB61">
            <w:pPr>
              <w:pStyle w:val="5"/>
              <w:spacing w:line="240" w:lineRule="auto"/>
              <w:ind w:firstLine="0" w:firstLineChars="0"/>
              <w:jc w:val="center"/>
              <w:rPr>
                <w:rFonts w:hint="eastAsia" w:ascii="仿宋_GB2312"/>
                <w:sz w:val="24"/>
              </w:rPr>
            </w:pPr>
            <w:r>
              <w:rPr>
                <w:rFonts w:hint="eastAsia" w:ascii="仿宋_GB2312"/>
                <w:sz w:val="24"/>
              </w:rPr>
              <w:t>≤10</w:t>
            </w:r>
          </w:p>
        </w:tc>
        <w:tc>
          <w:tcPr>
            <w:tcW w:w="1069"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34AA0601">
            <w:pPr>
              <w:pStyle w:val="5"/>
              <w:spacing w:line="240" w:lineRule="auto"/>
              <w:ind w:firstLine="0" w:firstLineChars="0"/>
              <w:jc w:val="center"/>
              <w:rPr>
                <w:rFonts w:hint="eastAsia" w:ascii="仿宋_GB2312"/>
                <w:sz w:val="24"/>
              </w:rPr>
            </w:pPr>
            <w:r>
              <w:rPr>
                <w:rFonts w:hint="eastAsia" w:ascii="仿宋_GB2312"/>
                <w:sz w:val="24"/>
              </w:rPr>
              <w:t>≤1.5</w:t>
            </w:r>
          </w:p>
        </w:tc>
        <w:tc>
          <w:tcPr>
            <w:tcW w:w="124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B318AD9">
            <w:pPr>
              <w:pStyle w:val="5"/>
              <w:spacing w:line="240" w:lineRule="auto"/>
              <w:ind w:firstLine="0" w:firstLineChars="0"/>
              <w:jc w:val="center"/>
              <w:rPr>
                <w:rFonts w:hint="eastAsia" w:ascii="仿宋_GB2312"/>
                <w:sz w:val="24"/>
              </w:rPr>
            </w:pPr>
            <w:r>
              <w:rPr>
                <w:rFonts w:hint="eastAsia" w:ascii="仿宋_GB2312"/>
                <w:sz w:val="24"/>
              </w:rPr>
              <w:t>≤20</w:t>
            </w:r>
          </w:p>
        </w:tc>
        <w:tc>
          <w:tcPr>
            <w:tcW w:w="131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A18A61D">
            <w:pPr>
              <w:pStyle w:val="5"/>
              <w:spacing w:line="240" w:lineRule="auto"/>
              <w:ind w:firstLine="0" w:firstLineChars="0"/>
              <w:jc w:val="center"/>
              <w:rPr>
                <w:rFonts w:hint="eastAsia" w:ascii="仿宋_GB2312"/>
                <w:sz w:val="24"/>
              </w:rPr>
            </w:pPr>
            <w:r>
              <w:rPr>
                <w:rFonts w:hint="eastAsia" w:ascii="仿宋_GB2312"/>
                <w:sz w:val="24"/>
              </w:rPr>
              <w:t>≤6</w:t>
            </w:r>
          </w:p>
        </w:tc>
      </w:tr>
      <w:tr w14:paraId="4372E9A0">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07" w:hRule="atLeast"/>
          <w:jc w:val="center"/>
        </w:trPr>
        <w:tc>
          <w:tcPr>
            <w:tcW w:w="83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D36A73E">
            <w:pPr>
              <w:pStyle w:val="5"/>
              <w:spacing w:line="240" w:lineRule="auto"/>
              <w:ind w:firstLine="0" w:firstLineChars="0"/>
              <w:jc w:val="center"/>
              <w:rPr>
                <w:rFonts w:hint="eastAsia" w:ascii="仿宋_GB2312"/>
                <w:sz w:val="24"/>
              </w:rPr>
            </w:pPr>
            <w:r>
              <w:rPr>
                <w:rFonts w:hint="eastAsia" w:ascii="仿宋_GB2312"/>
                <w:sz w:val="24"/>
              </w:rPr>
              <w:t>四级</w:t>
            </w:r>
          </w:p>
        </w:tc>
        <w:tc>
          <w:tcPr>
            <w:tcW w:w="102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BDEE640">
            <w:pPr>
              <w:pStyle w:val="5"/>
              <w:spacing w:line="240" w:lineRule="auto"/>
              <w:ind w:firstLine="0" w:firstLineChars="0"/>
              <w:jc w:val="center"/>
              <w:rPr>
                <w:rFonts w:hint="eastAsia" w:ascii="仿宋_GB2312"/>
                <w:sz w:val="24"/>
              </w:rPr>
            </w:pPr>
            <w:r>
              <w:rPr>
                <w:rFonts w:hint="eastAsia" w:ascii="仿宋_GB2312"/>
                <w:sz w:val="24"/>
              </w:rPr>
              <w:t>≤10</w:t>
            </w:r>
          </w:p>
        </w:tc>
        <w:tc>
          <w:tcPr>
            <w:tcW w:w="1363"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09102D79">
            <w:pPr>
              <w:pStyle w:val="5"/>
              <w:spacing w:line="240" w:lineRule="auto"/>
              <w:ind w:firstLine="0" w:firstLineChars="0"/>
              <w:jc w:val="center"/>
              <w:rPr>
                <w:rFonts w:hint="eastAsia" w:ascii="仿宋_GB2312"/>
                <w:sz w:val="24"/>
              </w:rPr>
            </w:pPr>
            <w:r>
              <w:rPr>
                <w:rFonts w:hint="eastAsia" w:ascii="仿宋_GB2312"/>
                <w:sz w:val="24"/>
              </w:rPr>
              <w:t>≤12</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860485A">
            <w:pPr>
              <w:pStyle w:val="5"/>
              <w:spacing w:line="240" w:lineRule="auto"/>
              <w:ind w:firstLine="0" w:firstLineChars="0"/>
              <w:jc w:val="center"/>
              <w:rPr>
                <w:rFonts w:hint="eastAsia" w:ascii="仿宋_GB2312"/>
                <w:sz w:val="24"/>
              </w:rPr>
            </w:pPr>
            <w:r>
              <w:rPr>
                <w:rFonts w:hint="eastAsia" w:ascii="仿宋_GB2312"/>
                <w:sz w:val="24"/>
              </w:rPr>
              <w:t>≤12</w:t>
            </w:r>
          </w:p>
        </w:tc>
        <w:tc>
          <w:tcPr>
            <w:tcW w:w="1297"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10DC504A">
            <w:pPr>
              <w:pStyle w:val="5"/>
              <w:spacing w:line="240" w:lineRule="auto"/>
              <w:ind w:firstLine="0" w:firstLineChars="0"/>
              <w:jc w:val="center"/>
              <w:rPr>
                <w:rFonts w:hint="eastAsia" w:ascii="仿宋_GB2312"/>
                <w:sz w:val="24"/>
              </w:rPr>
            </w:pPr>
            <w:r>
              <w:rPr>
                <w:rFonts w:hint="eastAsia" w:ascii="仿宋_GB2312"/>
                <w:sz w:val="24"/>
              </w:rPr>
              <w:t>≤12</w:t>
            </w:r>
          </w:p>
        </w:tc>
        <w:tc>
          <w:tcPr>
            <w:tcW w:w="1069"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4617C5AE">
            <w:pPr>
              <w:pStyle w:val="5"/>
              <w:spacing w:line="240" w:lineRule="auto"/>
              <w:ind w:firstLine="0" w:firstLineChars="0"/>
              <w:jc w:val="center"/>
              <w:rPr>
                <w:rFonts w:hint="eastAsia" w:ascii="仿宋_GB2312"/>
                <w:sz w:val="24"/>
              </w:rPr>
            </w:pPr>
            <w:r>
              <w:rPr>
                <w:rFonts w:hint="eastAsia" w:ascii="仿宋_GB2312"/>
                <w:sz w:val="24"/>
              </w:rPr>
              <w:t>≤2</w:t>
            </w:r>
          </w:p>
        </w:tc>
        <w:tc>
          <w:tcPr>
            <w:tcW w:w="1248"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6866D318">
            <w:pPr>
              <w:pStyle w:val="5"/>
              <w:spacing w:line="240" w:lineRule="auto"/>
              <w:ind w:firstLine="0" w:firstLineChars="0"/>
              <w:jc w:val="center"/>
              <w:rPr>
                <w:rFonts w:hint="eastAsia" w:ascii="仿宋_GB2312"/>
                <w:sz w:val="24"/>
              </w:rPr>
            </w:pPr>
            <w:r>
              <w:rPr>
                <w:rFonts w:hint="eastAsia" w:ascii="仿宋_GB2312"/>
                <w:sz w:val="24"/>
              </w:rPr>
              <w:t>≤25</w:t>
            </w:r>
          </w:p>
        </w:tc>
        <w:tc>
          <w:tcPr>
            <w:tcW w:w="1314" w:type="dxa"/>
            <w:tcBorders>
              <w:top w:val="single" w:color="CCCCCC" w:sz="6" w:space="0"/>
              <w:left w:val="single" w:color="CCCCCC" w:sz="6" w:space="0"/>
              <w:bottom w:val="single" w:color="CCCCCC" w:sz="6" w:space="0"/>
              <w:right w:val="single" w:color="CCCCCC" w:sz="6" w:space="0"/>
            </w:tcBorders>
            <w:shd w:val="clear" w:color="auto" w:fill="FFFFFF"/>
            <w:tcMar>
              <w:top w:w="75" w:type="dxa"/>
              <w:left w:w="75" w:type="dxa"/>
              <w:bottom w:w="75" w:type="dxa"/>
              <w:right w:w="75" w:type="dxa"/>
            </w:tcMar>
            <w:vAlign w:val="center"/>
          </w:tcPr>
          <w:p w14:paraId="2CF96608">
            <w:pPr>
              <w:pStyle w:val="5"/>
              <w:spacing w:line="240" w:lineRule="auto"/>
              <w:ind w:firstLine="0" w:firstLineChars="0"/>
              <w:jc w:val="center"/>
              <w:rPr>
                <w:rFonts w:hint="eastAsia" w:ascii="仿宋_GB2312"/>
                <w:sz w:val="24"/>
              </w:rPr>
            </w:pPr>
            <w:r>
              <w:rPr>
                <w:rFonts w:hint="eastAsia" w:ascii="仿宋_GB2312"/>
                <w:sz w:val="24"/>
              </w:rPr>
              <w:t>≤8</w:t>
            </w:r>
          </w:p>
        </w:tc>
      </w:tr>
    </w:tbl>
    <w:p w14:paraId="4C0330BE">
      <w:pPr>
        <w:pStyle w:val="5"/>
        <w:ind w:firstLine="560"/>
        <w:rPr>
          <w:rFonts w:hint="eastAsia"/>
        </w:rPr>
      </w:pPr>
      <w:r>
        <w:rPr>
          <w:rFonts w:hint="eastAsia"/>
        </w:rPr>
        <w:t>2、根据城区内道路情况，合理配置快速保洁人员，进行巡回保洁。建立应急清扫保洁队伍，实行全天候动态保洁，保证30分钟内做出响应，确保完成突发情况的应急作业任务。</w:t>
      </w:r>
    </w:p>
    <w:p w14:paraId="1E70CAA1">
      <w:pPr>
        <w:pStyle w:val="5"/>
        <w:ind w:firstLine="560"/>
        <w:rPr>
          <w:rFonts w:hint="eastAsia"/>
        </w:rPr>
      </w:pPr>
      <w:r>
        <w:rPr>
          <w:rFonts w:hint="eastAsia"/>
        </w:rPr>
        <w:t>3、人行道至墙脚边(不含建筑物墙体)硬底化地面上的杂草、沙尘、污泥(1</w:t>
      </w:r>
      <w:r>
        <w:rPr>
          <w:rFonts w:hint="eastAsia" w:ascii="微软雅黑" w:hAnsi="微软雅黑" w:eastAsia="微软雅黑" w:cs="微软雅黑"/>
        </w:rPr>
        <w:t>㎡</w:t>
      </w:r>
      <w:r>
        <w:rPr>
          <w:rFonts w:hint="eastAsia" w:ascii="仿宋_GB2312" w:hAnsi="仿宋_GB2312" w:cs="仿宋_GB2312"/>
        </w:rPr>
        <w:t>以上</w:t>
      </w:r>
      <w:r>
        <w:rPr>
          <w:rFonts w:hint="eastAsia"/>
        </w:rPr>
        <w:t>)要及时清理。</w:t>
      </w:r>
    </w:p>
    <w:p w14:paraId="7CC03059">
      <w:pPr>
        <w:pStyle w:val="5"/>
        <w:ind w:firstLine="560"/>
        <w:rPr>
          <w:rFonts w:hint="eastAsia"/>
        </w:rPr>
      </w:pPr>
      <w:r>
        <w:rPr>
          <w:rFonts w:hint="eastAsia"/>
        </w:rPr>
        <w:t>4、废弃物和泥沙应及时清扫,确保无泥沙和废弃物。</w:t>
      </w:r>
    </w:p>
    <w:p w14:paraId="6148974A">
      <w:pPr>
        <w:pStyle w:val="5"/>
        <w:ind w:firstLine="560"/>
        <w:rPr>
          <w:rFonts w:hint="eastAsia"/>
        </w:rPr>
      </w:pPr>
      <w:r>
        <w:rPr>
          <w:rFonts w:hint="eastAsia"/>
        </w:rPr>
        <w:t>5、保洁道路所产生的泥沙不能倒入路旁的绿化带和下水道内，也不能成堆倒放在道路两旁，清理。</w:t>
      </w:r>
    </w:p>
    <w:p w14:paraId="6B4FAAA5">
      <w:pPr>
        <w:pStyle w:val="5"/>
        <w:ind w:firstLine="560"/>
        <w:rPr>
          <w:rFonts w:hint="eastAsia"/>
        </w:rPr>
      </w:pPr>
      <w:r>
        <w:rPr>
          <w:rFonts w:hint="eastAsia"/>
        </w:rPr>
        <w:t>6、保洁道路所产生的垃圾和收集的生活垃圾不能倒放在果皮箱或垃圾桶内，也不能裸露倒放在道路两边绿化带内，要按要求倾倒到相应的垃圾容器内。</w:t>
      </w:r>
    </w:p>
    <w:p w14:paraId="0C50C18D">
      <w:pPr>
        <w:pStyle w:val="5"/>
        <w:ind w:firstLine="560"/>
        <w:rPr>
          <w:rFonts w:hint="eastAsia"/>
        </w:rPr>
      </w:pPr>
      <w:r>
        <w:rPr>
          <w:rFonts w:hint="eastAsia"/>
        </w:rPr>
        <w:t>7、清扫保洁时不能将垃圾扫入下水道或绿化带，下水道口的垃圾要及时清理，堵塞时要及时疏通清理。</w:t>
      </w:r>
    </w:p>
    <w:p w14:paraId="4E7C8D25">
      <w:pPr>
        <w:pStyle w:val="5"/>
        <w:ind w:firstLine="560"/>
        <w:rPr>
          <w:rFonts w:hint="eastAsia"/>
        </w:rPr>
      </w:pPr>
      <w:r>
        <w:rPr>
          <w:rFonts w:hint="eastAsia"/>
        </w:rPr>
        <w:t>8、不允许保洁员焚烧树叶和垃圾，若发现焚烧垃圾现象及时制止，并按考核制度进行处罚。</w:t>
      </w:r>
    </w:p>
    <w:p w14:paraId="74E3E4A4">
      <w:pPr>
        <w:pStyle w:val="5"/>
        <w:ind w:firstLine="560"/>
        <w:rPr>
          <w:rFonts w:hint="eastAsia"/>
        </w:rPr>
      </w:pPr>
      <w:r>
        <w:rPr>
          <w:rFonts w:hint="eastAsia"/>
        </w:rPr>
        <w:t>9、清扫保洁作业时间内确保配足保洁员和垃圾收集员在岗。节假日期间应增加保洁员加强保洁，确保市容环境卫生干净整洁。</w:t>
      </w:r>
    </w:p>
    <w:p w14:paraId="4499699E">
      <w:pPr>
        <w:pStyle w:val="5"/>
        <w:ind w:firstLine="560"/>
        <w:rPr>
          <w:rFonts w:hint="eastAsia"/>
        </w:rPr>
      </w:pPr>
      <w:r>
        <w:rPr>
          <w:rFonts w:hint="eastAsia"/>
        </w:rPr>
        <w:t>10、运输车辆撒漏在路面上的泥沙、碎石、油污等必须在30分钟内到达现场清理。</w:t>
      </w:r>
    </w:p>
    <w:p w14:paraId="37EC76AC">
      <w:pPr>
        <w:pStyle w:val="5"/>
        <w:ind w:firstLine="560"/>
        <w:rPr>
          <w:rFonts w:hint="eastAsia"/>
        </w:rPr>
      </w:pPr>
      <w:r>
        <w:rPr>
          <w:rFonts w:hint="eastAsia"/>
        </w:rPr>
        <w:t>11、路面成堆垃圾（1公斤以上）必须在10分钟内到达现场清理。</w:t>
      </w:r>
    </w:p>
    <w:p w14:paraId="00246C0F">
      <w:pPr>
        <w:pStyle w:val="5"/>
        <w:ind w:firstLine="560"/>
        <w:rPr>
          <w:rFonts w:hint="eastAsia"/>
        </w:rPr>
      </w:pPr>
      <w:r>
        <w:rPr>
          <w:rFonts w:hint="eastAsia"/>
        </w:rPr>
        <w:t>12、清扫保洁作业车辆及工具摆放整齐，扫把存放位置恰当，不能影响市容和人员、车辆交通安全。</w:t>
      </w:r>
    </w:p>
    <w:p w14:paraId="2400C853">
      <w:pPr>
        <w:pStyle w:val="5"/>
        <w:ind w:firstLine="560"/>
        <w:rPr>
          <w:rFonts w:hint="eastAsia"/>
        </w:rPr>
      </w:pPr>
      <w:r>
        <w:rPr>
          <w:rFonts w:hint="eastAsia"/>
        </w:rPr>
        <w:t>13、业主安排的临时性突击任务要在规定的时间及要求内提前、保质、超额完成。</w:t>
      </w:r>
    </w:p>
    <w:p w14:paraId="37341BD3">
      <w:pPr>
        <w:pStyle w:val="5"/>
        <w:ind w:firstLine="560"/>
        <w:rPr>
          <w:rFonts w:hint="eastAsia"/>
        </w:rPr>
      </w:pPr>
      <w:r>
        <w:rPr>
          <w:rFonts w:hint="eastAsia"/>
        </w:rPr>
        <w:t>14、市民群众投诉及甲方检查告知的存在问题要在接到通知后及时整改彻底。</w:t>
      </w:r>
    </w:p>
    <w:p w14:paraId="08CF2EFF">
      <w:pPr>
        <w:pStyle w:val="5"/>
        <w:ind w:firstLine="560"/>
        <w:rPr>
          <w:rFonts w:hint="eastAsia"/>
        </w:rPr>
      </w:pPr>
      <w:r>
        <w:rPr>
          <w:rFonts w:hint="eastAsia"/>
        </w:rPr>
        <w:t>15、作业时要穿戴环卫工作服，遵守操作规程，在清扫大面积泥沙撒漏时要按规定设置交通安全标志。</w:t>
      </w:r>
    </w:p>
    <w:p w14:paraId="1C4E3813">
      <w:pPr>
        <w:pStyle w:val="5"/>
        <w:ind w:firstLine="560"/>
        <w:rPr>
          <w:rFonts w:hint="eastAsia"/>
        </w:rPr>
      </w:pPr>
      <w:r>
        <w:rPr>
          <w:rFonts w:hint="eastAsia"/>
        </w:rPr>
        <w:t>16、范围内废弃家具、石块砖块20kg以下建筑装修垃圾、卫生死角、闲置空地荒地垃圾等应在4小时内清理完毕。</w:t>
      </w:r>
    </w:p>
    <w:p w14:paraId="6A84725D">
      <w:pPr>
        <w:pStyle w:val="3"/>
        <w:ind w:firstLine="321"/>
      </w:pPr>
      <w:bookmarkStart w:id="50" w:name="_Toc10157"/>
      <w:r>
        <w:rPr>
          <w:rFonts w:hint="eastAsia"/>
        </w:rPr>
        <w:t>（二）生活垃圾清运</w:t>
      </w:r>
      <w:r>
        <w:t>作业质量标准与作业要求</w:t>
      </w:r>
      <w:bookmarkEnd w:id="50"/>
    </w:p>
    <w:p w14:paraId="0663F673">
      <w:pPr>
        <w:pStyle w:val="5"/>
        <w:ind w:firstLine="560"/>
        <w:rPr>
          <w:rFonts w:hint="eastAsia" w:ascii="仿宋_GB2312"/>
        </w:rPr>
      </w:pPr>
      <w:r>
        <w:rPr>
          <w:rFonts w:hint="eastAsia" w:ascii="仿宋_GB2312"/>
        </w:rPr>
        <w:t>1、作业时间要求</w:t>
      </w:r>
    </w:p>
    <w:p w14:paraId="77631FB3">
      <w:pPr>
        <w:pStyle w:val="5"/>
        <w:numPr>
          <w:ilvl w:val="0"/>
          <w:numId w:val="3"/>
        </w:numPr>
        <w:ind w:left="0" w:firstLine="560"/>
        <w:rPr>
          <w:rFonts w:hint="eastAsia"/>
        </w:rPr>
      </w:pPr>
      <w:r>
        <w:rPr>
          <w:rFonts w:hint="eastAsia"/>
        </w:rPr>
        <w:t>生活垃圾：居民小区、学校、事业单位等机构</w:t>
      </w:r>
      <w:r>
        <w:t>0</w:t>
      </w:r>
      <w:r>
        <w:rPr>
          <w:rFonts w:hint="eastAsia"/>
        </w:rPr>
        <w:t>9：00前完成第一次全面清运工作，确保居民出门上班有地方丢垃圾；10：00－14：00负责清运沿街店面的生活垃圾；下午16：00－20：00进行循环清运，收运爆桶垃圾。</w:t>
      </w:r>
    </w:p>
    <w:p w14:paraId="0F60C837">
      <w:pPr>
        <w:pStyle w:val="5"/>
        <w:numPr>
          <w:ilvl w:val="0"/>
          <w:numId w:val="3"/>
        </w:numPr>
        <w:ind w:left="0" w:firstLine="560"/>
        <w:rPr>
          <w:rFonts w:hint="eastAsia"/>
          <w:lang w:bidi="zh-CN"/>
        </w:rPr>
      </w:pPr>
      <w:r>
        <w:rPr>
          <w:rFonts w:hint="eastAsia"/>
        </w:rPr>
        <w:t>餐厨垃圾：餐厨垃圾主要产生单位为餐饮酒店、学校、企事业单位，收运时段为：</w:t>
      </w:r>
      <w:r>
        <w:rPr>
          <w:rFonts w:hint="eastAsia"/>
          <w:lang w:bidi="zh-CN"/>
        </w:rPr>
        <w:t>4月-</w:t>
      </w:r>
      <w:r>
        <w:rPr>
          <w:lang w:bidi="zh-CN"/>
        </w:rPr>
        <w:t>10</w:t>
      </w:r>
      <w:r>
        <w:rPr>
          <w:rFonts w:hint="eastAsia"/>
          <w:lang w:bidi="zh-CN"/>
        </w:rPr>
        <w:t>月</w:t>
      </w:r>
      <w:r>
        <w:rPr>
          <w:lang w:bidi="zh-CN"/>
        </w:rPr>
        <w:t>10</w:t>
      </w:r>
      <w:r>
        <w:rPr>
          <w:rFonts w:hint="eastAsia"/>
          <w:lang w:bidi="zh-CN"/>
        </w:rPr>
        <w:t>：00－13：</w:t>
      </w:r>
      <w:r>
        <w:rPr>
          <w:lang w:bidi="zh-CN"/>
        </w:rPr>
        <w:t>0</w:t>
      </w:r>
      <w:r>
        <w:rPr>
          <w:rFonts w:hint="eastAsia"/>
          <w:lang w:bidi="zh-CN"/>
        </w:rPr>
        <w:t>0</w:t>
      </w:r>
      <w:r>
        <w:rPr>
          <w:lang w:bidi="zh-CN"/>
        </w:rPr>
        <w:t>/</w:t>
      </w:r>
      <w:r>
        <w:rPr>
          <w:rFonts w:hint="eastAsia"/>
          <w:lang w:bidi="zh-CN"/>
        </w:rPr>
        <w:t>16:0</w:t>
      </w:r>
      <w:r>
        <w:rPr>
          <w:lang w:bidi="zh-CN"/>
        </w:rPr>
        <w:t>0</w:t>
      </w:r>
      <w:r>
        <w:rPr>
          <w:rFonts w:hint="eastAsia"/>
          <w:lang w:bidi="zh-CN"/>
        </w:rPr>
        <w:t>-</w:t>
      </w:r>
      <w:r>
        <w:rPr>
          <w:lang w:bidi="zh-CN"/>
        </w:rPr>
        <w:t>21</w:t>
      </w:r>
      <w:r>
        <w:rPr>
          <w:rFonts w:hint="eastAsia"/>
          <w:lang w:bidi="zh-CN"/>
        </w:rPr>
        <w:t>:</w:t>
      </w:r>
      <w:r>
        <w:rPr>
          <w:lang w:bidi="zh-CN"/>
        </w:rPr>
        <w:t>00</w:t>
      </w:r>
      <w:r>
        <w:rPr>
          <w:rFonts w:hint="eastAsia"/>
          <w:lang w:bidi="zh-CN"/>
        </w:rPr>
        <w:t>；1</w:t>
      </w:r>
      <w:r>
        <w:rPr>
          <w:lang w:bidi="zh-CN"/>
        </w:rPr>
        <w:t>1</w:t>
      </w:r>
      <w:r>
        <w:rPr>
          <w:rFonts w:hint="eastAsia"/>
          <w:lang w:bidi="zh-CN"/>
        </w:rPr>
        <w:t>月-</w:t>
      </w:r>
      <w:r>
        <w:rPr>
          <w:lang w:bidi="zh-CN"/>
        </w:rPr>
        <w:t>3</w:t>
      </w:r>
      <w:r>
        <w:rPr>
          <w:rFonts w:hint="eastAsia"/>
          <w:lang w:bidi="zh-CN"/>
        </w:rPr>
        <w:t>月</w:t>
      </w:r>
      <w:r>
        <w:rPr>
          <w:lang w:bidi="zh-CN"/>
        </w:rPr>
        <w:t>10</w:t>
      </w:r>
      <w:r>
        <w:rPr>
          <w:rFonts w:hint="eastAsia"/>
          <w:lang w:bidi="zh-CN"/>
        </w:rPr>
        <w:t>：</w:t>
      </w:r>
      <w:r>
        <w:rPr>
          <w:lang w:bidi="zh-CN"/>
        </w:rPr>
        <w:t>0</w:t>
      </w:r>
      <w:r>
        <w:rPr>
          <w:rFonts w:hint="eastAsia"/>
          <w:lang w:bidi="zh-CN"/>
        </w:rPr>
        <w:t>0－13：00</w:t>
      </w:r>
      <w:r>
        <w:rPr>
          <w:lang w:bidi="zh-CN"/>
        </w:rPr>
        <w:t>/</w:t>
      </w:r>
      <w:r>
        <w:rPr>
          <w:rFonts w:hint="eastAsia"/>
          <w:lang w:bidi="zh-CN"/>
        </w:rPr>
        <w:t>16：</w:t>
      </w:r>
      <w:r>
        <w:rPr>
          <w:lang w:bidi="zh-CN"/>
        </w:rPr>
        <w:t>0</w:t>
      </w:r>
      <w:r>
        <w:rPr>
          <w:rFonts w:hint="eastAsia"/>
          <w:lang w:bidi="zh-CN"/>
        </w:rPr>
        <w:t>0－1</w:t>
      </w:r>
      <w:r>
        <w:rPr>
          <w:lang w:bidi="zh-CN"/>
        </w:rPr>
        <w:t>9</w:t>
      </w:r>
      <w:r>
        <w:rPr>
          <w:rFonts w:hint="eastAsia"/>
          <w:lang w:bidi="zh-CN"/>
        </w:rPr>
        <w:t>：00。</w:t>
      </w:r>
    </w:p>
    <w:p w14:paraId="214D1A15">
      <w:pPr>
        <w:pStyle w:val="5"/>
        <w:ind w:firstLine="560"/>
        <w:rPr>
          <w:rFonts w:hint="eastAsia" w:ascii="仿宋_GB2312"/>
        </w:rPr>
      </w:pPr>
      <w:r>
        <w:rPr>
          <w:rFonts w:hint="eastAsia" w:ascii="仿宋_GB2312"/>
        </w:rPr>
        <w:t>2、清运标准</w:t>
      </w:r>
    </w:p>
    <w:p w14:paraId="2295FC20">
      <w:pPr>
        <w:pStyle w:val="5"/>
        <w:ind w:firstLine="560"/>
        <w:rPr>
          <w:rFonts w:hint="eastAsia"/>
        </w:rPr>
      </w:pPr>
      <w:r>
        <w:rPr>
          <w:rFonts w:hint="eastAsia"/>
        </w:rPr>
        <w:t>（</w:t>
      </w:r>
      <w:r>
        <w:t>1</w:t>
      </w:r>
      <w:r>
        <w:rPr>
          <w:rFonts w:hint="eastAsia"/>
        </w:rPr>
        <w:t>）生活垃圾做到日产日清，垃圾不外溢，保持清运现场洁净，并按规定运至中转站/焚烧厂，不得随意倾倒。</w:t>
      </w:r>
    </w:p>
    <w:p w14:paraId="36B8F5A9">
      <w:pPr>
        <w:pStyle w:val="5"/>
        <w:ind w:firstLine="560"/>
        <w:rPr>
          <w:rFonts w:hint="eastAsia"/>
        </w:rPr>
      </w:pPr>
      <w:r>
        <w:rPr>
          <w:rFonts w:hint="eastAsia"/>
        </w:rPr>
        <w:t>（</w:t>
      </w:r>
      <w:r>
        <w:t>2</w:t>
      </w:r>
      <w:r>
        <w:rPr>
          <w:rFonts w:hint="eastAsia"/>
        </w:rPr>
        <w:t>）文明作业，保持运输车辆车容整洁，车体外无污物、灰垢，标志清晰，运输过程中无抛洒遗漏，避免造成二次污染。</w:t>
      </w:r>
    </w:p>
    <w:p w14:paraId="58B3068D">
      <w:pPr>
        <w:pStyle w:val="5"/>
        <w:ind w:firstLine="560"/>
        <w:rPr>
          <w:rFonts w:hint="eastAsia"/>
        </w:rPr>
      </w:pPr>
      <w:r>
        <w:rPr>
          <w:rFonts w:hint="eastAsia"/>
        </w:rPr>
        <w:t>（</w:t>
      </w:r>
      <w:r>
        <w:t>3</w:t>
      </w:r>
      <w:r>
        <w:rPr>
          <w:rFonts w:hint="eastAsia"/>
        </w:rPr>
        <w:t>）垃圾桶装化区域，垃圾桶点周边整洁，无爆桶现象。垃圾收运过程中，无散装垃圾及垃圾落地、撒漏现象。</w:t>
      </w:r>
    </w:p>
    <w:p w14:paraId="77096147">
      <w:pPr>
        <w:pStyle w:val="5"/>
        <w:ind w:firstLine="560"/>
        <w:rPr>
          <w:rFonts w:hint="eastAsia"/>
        </w:rPr>
      </w:pPr>
      <w:r>
        <w:rPr>
          <w:rFonts w:hint="eastAsia"/>
        </w:rPr>
        <w:t>（</w:t>
      </w:r>
      <w:r>
        <w:t>4</w:t>
      </w:r>
      <w:r>
        <w:rPr>
          <w:rFonts w:hint="eastAsia"/>
        </w:rPr>
        <w:t>）垃圾收运车要做到干净，整洁，不跑、冒、滴、漏。</w:t>
      </w:r>
    </w:p>
    <w:p w14:paraId="46F853CE">
      <w:pPr>
        <w:pStyle w:val="5"/>
        <w:ind w:firstLine="560"/>
        <w:rPr>
          <w:rFonts w:hint="eastAsia"/>
        </w:rPr>
      </w:pPr>
      <w:r>
        <w:rPr>
          <w:rFonts w:hint="eastAsia"/>
        </w:rPr>
        <w:t>（</w:t>
      </w:r>
      <w:r>
        <w:t>5</w:t>
      </w:r>
      <w:r>
        <w:rPr>
          <w:rFonts w:hint="eastAsia"/>
        </w:rPr>
        <w:t>）蚊蝇滋生季节要对垃圾车辆、垃圾箱（桶）进行喷药、消毒，消杀蚊蝇作业。</w:t>
      </w:r>
    </w:p>
    <w:p w14:paraId="58FB9B4A">
      <w:pPr>
        <w:pStyle w:val="5"/>
        <w:ind w:firstLine="560"/>
        <w:rPr>
          <w:rFonts w:hint="eastAsia"/>
        </w:rPr>
      </w:pPr>
      <w:r>
        <w:rPr>
          <w:rFonts w:hint="eastAsia"/>
        </w:rPr>
        <w:t>（6）严禁焚烧垃圾、树叶；机动、非机动作业车不得停放在消防栓、公交车站旁，停放离人行道侧石不超过</w:t>
      </w:r>
      <w:r>
        <w:t>20</w:t>
      </w:r>
      <w:r>
        <w:rPr>
          <w:rFonts w:hint="eastAsia"/>
        </w:rPr>
        <w:t>厘米，不影响行人和交通，收工后存放在指定的位置进行集中管理。</w:t>
      </w:r>
    </w:p>
    <w:p w14:paraId="7FA9DE06">
      <w:pPr>
        <w:pStyle w:val="5"/>
        <w:ind w:firstLine="560"/>
        <w:rPr>
          <w:rFonts w:hint="eastAsia"/>
        </w:rPr>
      </w:pPr>
      <w:r>
        <w:rPr>
          <w:rFonts w:hint="eastAsia"/>
        </w:rPr>
        <w:t>（7）垃圾清运车要在车辆前部、后部、两侧设置反光标识，清除大片污染时，应做到有组织、有交通安全防护措施，采取小组作业方式进行，并设置反光锥形筒或与扫路车、洒水车协同进行。</w:t>
      </w:r>
    </w:p>
    <w:p w14:paraId="6B30802F">
      <w:pPr>
        <w:pStyle w:val="5"/>
        <w:ind w:firstLine="560"/>
        <w:rPr>
          <w:rFonts w:hint="eastAsia"/>
        </w:rPr>
      </w:pPr>
      <w:r>
        <w:rPr>
          <w:rFonts w:hint="eastAsia"/>
        </w:rPr>
        <w:t>（8）垃圾清运车实行密闭运输，无垃圾抛洒、无污水滴漏、车厢外无吊挂。垃圾收集作业完成后，要车走地净、垃圾桶复位，摆放整齐。</w:t>
      </w:r>
    </w:p>
    <w:p w14:paraId="4DAF6832">
      <w:pPr>
        <w:pStyle w:val="5"/>
        <w:ind w:firstLine="560"/>
        <w:rPr>
          <w:rFonts w:hint="eastAsia"/>
        </w:rPr>
      </w:pPr>
      <w:r>
        <w:rPr>
          <w:rFonts w:hint="eastAsia"/>
        </w:rPr>
        <w:t>（9）垃圾运输车辆进入中转场后，服从场内人员统一指挥。</w:t>
      </w:r>
    </w:p>
    <w:p w14:paraId="5CB7BF2E">
      <w:pPr>
        <w:pStyle w:val="5"/>
        <w:ind w:firstLine="560"/>
        <w:rPr>
          <w:rFonts w:hint="eastAsia"/>
        </w:rPr>
      </w:pPr>
      <w:r>
        <w:rPr>
          <w:rFonts w:hint="eastAsia"/>
        </w:rPr>
        <w:t>（10）重大事件所有垃圾车辆服从主管部门统一调度。</w:t>
      </w:r>
    </w:p>
    <w:p w14:paraId="1117B70D">
      <w:pPr>
        <w:pStyle w:val="3"/>
        <w:ind w:firstLine="321"/>
      </w:pPr>
      <w:bookmarkStart w:id="51" w:name="_Toc11311"/>
      <w:r>
        <w:rPr>
          <w:rFonts w:hint="eastAsia"/>
        </w:rPr>
        <w:t>（三）冬季除雪质量标准与作业要求</w:t>
      </w:r>
      <w:bookmarkEnd w:id="51"/>
    </w:p>
    <w:p w14:paraId="10E565C6">
      <w:pPr>
        <w:ind w:firstLine="562" w:firstLineChars="200"/>
        <w:rPr>
          <w:rFonts w:hint="eastAsia" w:ascii="仿宋_GB2312" w:hAnsi="宋体" w:eastAsia="仿宋_GB2312" w:cs="Calibri"/>
        </w:rPr>
      </w:pPr>
      <w:r>
        <w:rPr>
          <w:rFonts w:hint="eastAsia" w:ascii="仿宋_GB2312" w:hAnsi="宋体" w:eastAsia="仿宋_GB2312" w:cs="Calibri"/>
          <w:b/>
          <w:bCs/>
        </w:rPr>
        <w:t>1、作业原则</w:t>
      </w:r>
      <w:r>
        <w:rPr>
          <w:rFonts w:hint="eastAsia" w:ascii="仿宋_GB2312" w:hAnsi="宋体" w:eastAsia="仿宋_GB2312" w:cs="Calibri"/>
        </w:rPr>
        <w:t>：坚持以雪为令、即下即清、雪停路净、先通后净，优先保障主干道、重点区域、交通节点通行安全。</w:t>
      </w:r>
    </w:p>
    <w:p w14:paraId="1D980B62">
      <w:pPr>
        <w:ind w:firstLine="562" w:firstLineChars="200"/>
        <w:rPr>
          <w:rFonts w:hint="eastAsia" w:ascii="仿宋_GB2312" w:hAnsi="宋体" w:eastAsia="仿宋_GB2312" w:cs="Calibri"/>
          <w:b/>
          <w:bCs/>
        </w:rPr>
      </w:pPr>
      <w:r>
        <w:rPr>
          <w:rFonts w:hint="eastAsia" w:ascii="仿宋_GB2312" w:hAnsi="宋体" w:eastAsia="仿宋_GB2312" w:cs="Calibri"/>
          <w:b/>
          <w:bCs/>
        </w:rPr>
        <w:t>2、清除标准</w:t>
      </w:r>
    </w:p>
    <w:p w14:paraId="397A73D8">
      <w:pPr>
        <w:adjustRightInd w:val="0"/>
        <w:ind w:firstLine="560" w:firstLineChars="200"/>
        <w:rPr>
          <w:rFonts w:hint="eastAsia" w:ascii="仿宋_GB2312" w:hAnsi="宋体" w:eastAsia="仿宋_GB2312" w:cs="Calibri"/>
        </w:rPr>
      </w:pPr>
      <w:r>
        <w:rPr>
          <w:rFonts w:hint="eastAsia" w:ascii="仿宋_GB2312" w:hAnsi="宋体" w:eastAsia="仿宋_GB2312" w:cs="Calibri"/>
        </w:rPr>
        <w:t>《按照城市道路除雪作业技术规程》要求，达到“以雪为令、雪停即清、主次分明、不留死角、路见本色、及时清运、定点堆放”的标准，清扫后的积雪堆放到指定地点。不得在道路交叉口、消防通道以及公共交通站点、垃圾容器、公共厕所等公共设施周围堆放冰雪，不得向雪堆倾倒垃圾污物，不得向道路、广场等公共区域抛洒冰雪。</w:t>
      </w:r>
    </w:p>
    <w:p w14:paraId="7B91295B">
      <w:pPr>
        <w:pStyle w:val="13"/>
        <w:ind w:firstLine="560"/>
        <w:rPr>
          <w:rFonts w:hint="eastAsia" w:ascii="仿宋_GB2312" w:eastAsia="仿宋_GB2312" w:cs="Calibri"/>
          <w:kern w:val="2"/>
          <w:sz w:val="28"/>
          <w:szCs w:val="24"/>
          <w:lang w:val="en-US" w:bidi="ar-SA"/>
        </w:rPr>
      </w:pPr>
      <w:r>
        <w:rPr>
          <w:rFonts w:hint="eastAsia" w:ascii="仿宋_GB2312" w:eastAsia="仿宋_GB2312" w:cs="Calibri"/>
          <w:kern w:val="2"/>
          <w:sz w:val="28"/>
          <w:szCs w:val="24"/>
          <w:lang w:val="en-US" w:bidi="ar-SA"/>
        </w:rPr>
        <w:t>于小雪（降雪量</w:t>
      </w:r>
      <w:r>
        <w:rPr>
          <w:rFonts w:ascii="仿宋_GB2312" w:eastAsia="仿宋_GB2312" w:cs="Calibri"/>
          <w:kern w:val="2"/>
          <w:sz w:val="28"/>
          <w:szCs w:val="24"/>
          <w:lang w:val="en-US" w:bidi="ar-SA"/>
        </w:rPr>
        <w:t>2.4mm</w:t>
      </w:r>
      <w:r>
        <w:rPr>
          <w:rFonts w:hint="eastAsia" w:ascii="仿宋_GB2312" w:eastAsia="仿宋_GB2312" w:cs="Calibri"/>
          <w:kern w:val="2"/>
          <w:sz w:val="28"/>
          <w:szCs w:val="24"/>
          <w:lang w:val="en-US" w:bidi="ar-SA"/>
        </w:rPr>
        <w:t>以下）、量级的，应当在降雪停止后</w:t>
      </w:r>
      <w:r>
        <w:rPr>
          <w:rFonts w:ascii="仿宋_GB2312" w:eastAsia="仿宋_GB2312" w:cs="Calibri"/>
          <w:kern w:val="2"/>
          <w:sz w:val="28"/>
          <w:szCs w:val="24"/>
          <w:lang w:val="en-US" w:bidi="ar-SA"/>
        </w:rPr>
        <w:t>12</w:t>
      </w:r>
      <w:r>
        <w:rPr>
          <w:rFonts w:hint="eastAsia" w:ascii="仿宋_GB2312" w:eastAsia="仿宋_GB2312" w:cs="Calibri"/>
          <w:kern w:val="2"/>
          <w:sz w:val="28"/>
          <w:szCs w:val="24"/>
          <w:lang w:val="en-US" w:bidi="ar-SA"/>
        </w:rPr>
        <w:t>小时以内清扫完；中雪（降雪量</w:t>
      </w:r>
      <w:r>
        <w:rPr>
          <w:rFonts w:ascii="仿宋_GB2312" w:eastAsia="仿宋_GB2312" w:cs="Calibri"/>
          <w:kern w:val="2"/>
          <w:sz w:val="28"/>
          <w:szCs w:val="24"/>
          <w:lang w:val="en-US" w:bidi="ar-SA"/>
        </w:rPr>
        <w:t>2.5mm-4.9mm</w:t>
      </w:r>
      <w:r>
        <w:rPr>
          <w:rFonts w:hint="eastAsia" w:ascii="仿宋_GB2312" w:eastAsia="仿宋_GB2312" w:cs="Calibri"/>
          <w:kern w:val="2"/>
          <w:sz w:val="28"/>
          <w:szCs w:val="24"/>
          <w:lang w:val="en-US" w:bidi="ar-SA"/>
        </w:rPr>
        <w:t>）量级的，应当在降雪停止后</w:t>
      </w:r>
      <w:r>
        <w:rPr>
          <w:rFonts w:ascii="仿宋_GB2312" w:eastAsia="仿宋_GB2312" w:cs="Calibri"/>
          <w:kern w:val="2"/>
          <w:sz w:val="28"/>
          <w:szCs w:val="24"/>
          <w:lang w:val="en-US" w:bidi="ar-SA"/>
        </w:rPr>
        <w:t>24</w:t>
      </w:r>
      <w:r>
        <w:rPr>
          <w:rFonts w:hint="eastAsia" w:ascii="仿宋_GB2312" w:eastAsia="仿宋_GB2312" w:cs="Calibri"/>
          <w:kern w:val="2"/>
          <w:sz w:val="28"/>
          <w:szCs w:val="24"/>
          <w:lang w:val="en-US" w:bidi="ar-SA"/>
        </w:rPr>
        <w:t>小时以内清扫完；属于大雪（降雪量</w:t>
      </w:r>
      <w:r>
        <w:rPr>
          <w:rFonts w:ascii="仿宋_GB2312" w:eastAsia="仿宋_GB2312" w:cs="Calibri"/>
          <w:kern w:val="2"/>
          <w:sz w:val="28"/>
          <w:szCs w:val="24"/>
          <w:lang w:val="en-US" w:bidi="ar-SA"/>
        </w:rPr>
        <w:t>5mm-9.9mm</w:t>
      </w:r>
      <w:r>
        <w:rPr>
          <w:rFonts w:hint="eastAsia" w:ascii="仿宋_GB2312" w:eastAsia="仿宋_GB2312" w:cs="Calibri"/>
          <w:kern w:val="2"/>
          <w:sz w:val="28"/>
          <w:szCs w:val="24"/>
          <w:lang w:val="en-US" w:bidi="ar-SA"/>
        </w:rPr>
        <w:t>）量级的，应当在降雪后</w:t>
      </w:r>
      <w:r>
        <w:rPr>
          <w:rFonts w:ascii="仿宋_GB2312" w:eastAsia="仿宋_GB2312" w:cs="Calibri"/>
          <w:kern w:val="2"/>
          <w:sz w:val="28"/>
          <w:szCs w:val="24"/>
          <w:lang w:val="en-US" w:bidi="ar-SA"/>
        </w:rPr>
        <w:t>48</w:t>
      </w:r>
      <w:r>
        <w:rPr>
          <w:rFonts w:hint="eastAsia" w:ascii="仿宋_GB2312" w:eastAsia="仿宋_GB2312" w:cs="Calibri"/>
          <w:kern w:val="2"/>
          <w:sz w:val="28"/>
          <w:szCs w:val="24"/>
          <w:lang w:val="en-US" w:bidi="ar-SA"/>
        </w:rPr>
        <w:t>小时以内完成；属于暴雪（降雪量</w:t>
      </w:r>
      <w:r>
        <w:rPr>
          <w:rFonts w:ascii="仿宋_GB2312" w:eastAsia="仿宋_GB2312" w:cs="Calibri"/>
          <w:kern w:val="2"/>
          <w:sz w:val="28"/>
          <w:szCs w:val="24"/>
          <w:lang w:val="en-US" w:bidi="ar-SA"/>
        </w:rPr>
        <w:t>10mm-19.9mm</w:t>
      </w:r>
      <w:r>
        <w:rPr>
          <w:rFonts w:hint="eastAsia" w:ascii="仿宋_GB2312" w:eastAsia="仿宋_GB2312" w:cs="Calibri"/>
          <w:kern w:val="2"/>
          <w:sz w:val="28"/>
          <w:szCs w:val="24"/>
          <w:lang w:val="en-US" w:bidi="ar-SA"/>
        </w:rPr>
        <w:t>）量级的，应当在降雪后</w:t>
      </w:r>
      <w:r>
        <w:rPr>
          <w:rFonts w:ascii="仿宋_GB2312" w:eastAsia="仿宋_GB2312" w:cs="Calibri"/>
          <w:kern w:val="2"/>
          <w:sz w:val="28"/>
          <w:szCs w:val="24"/>
          <w:lang w:val="en-US" w:bidi="ar-SA"/>
        </w:rPr>
        <w:t>60</w:t>
      </w:r>
      <w:r>
        <w:rPr>
          <w:rFonts w:hint="eastAsia" w:ascii="仿宋_GB2312" w:eastAsia="仿宋_GB2312" w:cs="Calibri"/>
          <w:kern w:val="2"/>
          <w:sz w:val="28"/>
          <w:szCs w:val="24"/>
          <w:lang w:val="en-US" w:bidi="ar-SA"/>
        </w:rPr>
        <w:t>小时以内完成；清扫后的积雪统一堆放在路边石以下，不影响交通。清运应当在清扫时限后</w:t>
      </w:r>
      <w:r>
        <w:rPr>
          <w:rFonts w:ascii="仿宋_GB2312" w:eastAsia="仿宋_GB2312" w:cs="Calibri"/>
          <w:kern w:val="2"/>
          <w:sz w:val="28"/>
          <w:szCs w:val="24"/>
          <w:lang w:val="en-US" w:bidi="ar-SA"/>
        </w:rPr>
        <w:t>24</w:t>
      </w:r>
      <w:r>
        <w:rPr>
          <w:rFonts w:hint="eastAsia" w:ascii="仿宋_GB2312" w:eastAsia="仿宋_GB2312" w:cs="Calibri"/>
          <w:kern w:val="2"/>
          <w:sz w:val="28"/>
          <w:szCs w:val="24"/>
          <w:lang w:val="en-US" w:bidi="ar-SA"/>
        </w:rPr>
        <w:t>小时内运到指定堆放地点。</w:t>
      </w:r>
    </w:p>
    <w:p w14:paraId="608FDE98">
      <w:pPr>
        <w:ind w:firstLine="562" w:firstLineChars="200"/>
        <w:rPr>
          <w:rFonts w:hint="eastAsia" w:ascii="仿宋_GB2312" w:hAnsi="宋体" w:eastAsia="仿宋_GB2312" w:cs="Calibri"/>
        </w:rPr>
      </w:pPr>
      <w:r>
        <w:rPr>
          <w:rFonts w:hint="eastAsia" w:ascii="仿宋_GB2312" w:hAnsi="宋体" w:eastAsia="仿宋_GB2312" w:cs="Calibri"/>
          <w:b/>
          <w:bCs/>
        </w:rPr>
        <w:t>城市主干道、重点路段：</w:t>
      </w:r>
      <w:r>
        <w:rPr>
          <w:rFonts w:hint="eastAsia" w:ascii="仿宋_GB2312" w:hAnsi="宋体" w:eastAsia="仿宋_GB2312" w:cs="Calibri"/>
        </w:rPr>
        <w:t>雪停2小时内打通车道，4小时内基本见底，无大面积积雪、无结冰，路面见本色。</w:t>
      </w:r>
    </w:p>
    <w:p w14:paraId="666FDAF6">
      <w:pPr>
        <w:ind w:firstLine="562" w:firstLineChars="200"/>
        <w:rPr>
          <w:rFonts w:hint="eastAsia" w:ascii="仿宋_GB2312" w:hAnsi="宋体" w:eastAsia="仿宋_GB2312" w:cs="Calibri"/>
        </w:rPr>
      </w:pPr>
      <w:r>
        <w:rPr>
          <w:rFonts w:hint="eastAsia" w:ascii="仿宋_GB2312" w:hAnsi="宋体" w:eastAsia="仿宋_GB2312" w:cs="Calibri"/>
          <w:b/>
          <w:bCs/>
        </w:rPr>
        <w:t>次干道、街巷：</w:t>
      </w:r>
      <w:r>
        <w:rPr>
          <w:rFonts w:hint="eastAsia" w:ascii="仿宋_GB2312" w:hAnsi="宋体" w:eastAsia="仿宋_GB2312" w:cs="Calibri"/>
        </w:rPr>
        <w:t>雪停6小时内打通通行路面，无厚积雪、无影响通行冰面。</w:t>
      </w:r>
    </w:p>
    <w:p w14:paraId="5D224D77">
      <w:pPr>
        <w:ind w:firstLine="562" w:firstLineChars="200"/>
        <w:rPr>
          <w:rFonts w:hint="eastAsia" w:ascii="仿宋_GB2312" w:hAnsi="宋体" w:eastAsia="仿宋_GB2312" w:cs="Calibri"/>
        </w:rPr>
      </w:pPr>
      <w:r>
        <w:rPr>
          <w:rFonts w:hint="eastAsia" w:ascii="仿宋_GB2312" w:hAnsi="宋体" w:eastAsia="仿宋_GB2312" w:cs="Calibri"/>
          <w:b/>
          <w:bCs/>
        </w:rPr>
        <w:t>重点区域（学校、医院、政府、公交站点等）：</w:t>
      </w:r>
      <w:r>
        <w:rPr>
          <w:rFonts w:hint="eastAsia" w:ascii="仿宋_GB2312" w:hAnsi="宋体" w:eastAsia="仿宋_GB2312" w:cs="Calibri"/>
        </w:rPr>
        <w:t>优先除雪、限时清零，确保行人车辆安全通行。</w:t>
      </w:r>
    </w:p>
    <w:p w14:paraId="15FCF4F9">
      <w:pPr>
        <w:ind w:firstLine="562" w:firstLineChars="200"/>
        <w:rPr>
          <w:rFonts w:hint="eastAsia" w:ascii="仿宋_GB2312" w:hAnsi="宋体" w:eastAsia="仿宋_GB2312" w:cs="Calibri"/>
          <w:b/>
          <w:bCs/>
        </w:rPr>
      </w:pPr>
      <w:r>
        <w:rPr>
          <w:rFonts w:hint="eastAsia" w:ascii="仿宋_GB2312" w:hAnsi="宋体" w:eastAsia="仿宋_GB2312" w:cs="Calibri"/>
          <w:b/>
          <w:bCs/>
        </w:rPr>
        <w:t>3、作业要求</w:t>
      </w:r>
    </w:p>
    <w:p w14:paraId="6D087950">
      <w:pPr>
        <w:ind w:firstLine="560" w:firstLineChars="200"/>
        <w:rPr>
          <w:rFonts w:hint="eastAsia" w:ascii="仿宋_GB2312" w:hAnsi="宋体" w:eastAsia="仿宋_GB2312" w:cs="Calibri"/>
        </w:rPr>
      </w:pPr>
      <w:r>
        <w:rPr>
          <w:rFonts w:hint="eastAsia" w:ascii="仿宋_GB2312" w:hAnsi="宋体" w:eastAsia="仿宋_GB2312" w:cs="Calibri"/>
        </w:rPr>
        <w:t>机械作业为主、人工作业为辅，禁止将积雪堆向绿化带、排水口、消防栓、路口转角。</w:t>
      </w:r>
    </w:p>
    <w:p w14:paraId="6C2F748A">
      <w:pPr>
        <w:ind w:firstLine="560" w:firstLineChars="200"/>
        <w:rPr>
          <w:rFonts w:hint="eastAsia" w:ascii="仿宋_GB2312" w:hAnsi="宋体" w:eastAsia="仿宋_GB2312" w:cs="Calibri"/>
        </w:rPr>
      </w:pPr>
      <w:r>
        <w:rPr>
          <w:rFonts w:hint="eastAsia" w:ascii="仿宋_GB2312" w:hAnsi="宋体" w:eastAsia="仿宋_GB2312" w:cs="Calibri"/>
        </w:rPr>
        <w:t>积雪统一清运至指定堆放点，严禁随意倾倒、堵塞交通。</w:t>
      </w:r>
    </w:p>
    <w:p w14:paraId="5540F1D1">
      <w:pPr>
        <w:ind w:firstLine="560" w:firstLineChars="200"/>
        <w:rPr>
          <w:rFonts w:hint="eastAsia" w:ascii="仿宋_GB2312" w:hAnsi="宋体" w:eastAsia="仿宋_GB2312" w:cs="Calibri"/>
        </w:rPr>
      </w:pPr>
      <w:r>
        <w:rPr>
          <w:rFonts w:hint="eastAsia" w:ascii="仿宋_GB2312" w:hAnsi="宋体" w:eastAsia="仿宋_GB2312" w:cs="Calibri"/>
        </w:rPr>
        <w:t>结冰路段及时撒布融雪剂（环保型）、除冰作业，防止路面结冰打滑。</w:t>
      </w:r>
    </w:p>
    <w:p w14:paraId="4E3A5197">
      <w:pPr>
        <w:ind w:firstLine="560" w:firstLineChars="200"/>
        <w:rPr>
          <w:rFonts w:hint="eastAsia" w:ascii="仿宋_GB2312" w:hAnsi="宋体" w:eastAsia="仿宋_GB2312" w:cs="Calibri"/>
        </w:rPr>
      </w:pPr>
      <w:r>
        <w:rPr>
          <w:rFonts w:hint="eastAsia" w:ascii="仿宋_GB2312" w:hAnsi="宋体" w:eastAsia="仿宋_GB2312" w:cs="Calibri"/>
        </w:rPr>
        <w:t>除雪作业服从统一调度，24小时待命，保障应急响应及时。</w:t>
      </w:r>
    </w:p>
    <w:p w14:paraId="1663BBFF">
      <w:pPr>
        <w:ind w:firstLine="562" w:firstLineChars="200"/>
        <w:rPr>
          <w:rFonts w:hint="eastAsia" w:ascii="仿宋_GB2312" w:hAnsi="宋体" w:eastAsia="仿宋_GB2312" w:cs="Calibri"/>
        </w:rPr>
      </w:pPr>
      <w:r>
        <w:rPr>
          <w:rFonts w:hint="eastAsia" w:ascii="仿宋_GB2312" w:hAnsi="宋体" w:eastAsia="仿宋_GB2312" w:cs="Calibri"/>
          <w:b/>
          <w:bCs/>
        </w:rPr>
        <w:t>4、质量要求：</w:t>
      </w:r>
      <w:r>
        <w:rPr>
          <w:rFonts w:hint="eastAsia" w:ascii="仿宋_GB2312" w:hAnsi="宋体" w:eastAsia="仿宋_GB2312" w:cs="Calibri"/>
        </w:rPr>
        <w:t>路面无漏段积雪、无明显冰面，行车顺畅、行人安全，符合城市环卫除雪应急保障标准。</w:t>
      </w:r>
    </w:p>
    <w:p w14:paraId="2CE4A3A5">
      <w:pPr>
        <w:pStyle w:val="3"/>
        <w:ind w:firstLine="321"/>
      </w:pPr>
      <w:bookmarkStart w:id="52" w:name="_Toc18875"/>
      <w:r>
        <w:rPr>
          <w:rFonts w:hint="eastAsia"/>
        </w:rPr>
        <w:t>（四）绿化养护质量标准与作业要求</w:t>
      </w:r>
      <w:bookmarkEnd w:id="52"/>
    </w:p>
    <w:p w14:paraId="1C28CEB8">
      <w:pPr>
        <w:pStyle w:val="5"/>
        <w:ind w:firstLine="560"/>
        <w:rPr>
          <w:rFonts w:hint="eastAsia" w:ascii="仿宋_GB2312"/>
        </w:rPr>
      </w:pPr>
      <w:r>
        <w:rPr>
          <w:rFonts w:hint="eastAsia" w:ascii="仿宋_GB2312"/>
        </w:rPr>
        <w:t>1、根据《新疆城市绿地养护管理标准》XJJ046-2012养护要求，城市道路绿化养护达到园林绿化二级标准，林区绿化养护达到园林绿化三级标准。</w:t>
      </w:r>
    </w:p>
    <w:p w14:paraId="6269886D">
      <w:pPr>
        <w:pStyle w:val="5"/>
        <w:ind w:firstLine="560"/>
        <w:rPr>
          <w:rFonts w:hint="eastAsia" w:ascii="仿宋_GB2312"/>
          <w:snapToGrid w:val="0"/>
          <w:color w:val="000000"/>
          <w:kern w:val="0"/>
        </w:rPr>
      </w:pPr>
      <w:r>
        <w:rPr>
          <w:rFonts w:hint="eastAsia" w:ascii="仿宋_GB2312"/>
        </w:rPr>
        <w:t>2、园林绿化二级养护</w:t>
      </w:r>
    </w:p>
    <w:p w14:paraId="2CE5E280">
      <w:pPr>
        <w:pStyle w:val="5"/>
        <w:ind w:left="480" w:firstLine="560"/>
        <w:rPr>
          <w:rFonts w:hint="eastAsia" w:ascii="仿宋_GB2312"/>
          <w:snapToGrid w:val="0"/>
          <w:color w:val="000000"/>
          <w:kern w:val="0"/>
        </w:rPr>
      </w:pPr>
      <w:r>
        <w:rPr>
          <w:rFonts w:hint="eastAsia" w:ascii="仿宋_GB2312" w:cs="新宋体"/>
          <w:snapToGrid w:val="0"/>
          <w:color w:val="000000"/>
          <w:kern w:val="0"/>
        </w:rPr>
        <w:t>绿化养护技术措施比较完善，管理基本得当，植物配置合理。园林植物养护应达到下列标准：</w:t>
      </w:r>
    </w:p>
    <w:p w14:paraId="7FCBCCC1">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新建绿地各种植物2年内达到正常形态。移交时成活率达100%。各园林植物凡经栽植成活一年以内，生长健壮，保存率均应达到95%以上；</w:t>
      </w:r>
    </w:p>
    <w:p w14:paraId="2BA9382B">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树木树冠基本完整。主侧枝分布均称、数量适宜、修剪合理、内膛不乱、通风透光。花灌木开花及时、正常，花后修剪及时。绿篱、色块枝叶正常，整齐一致。行道树无缺株，绿地内无死树；</w:t>
      </w:r>
    </w:p>
    <w:p w14:paraId="2FB04D27">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落叶树新梢生长正常，叶片大小、颜色正常，无明显黄叶、焦叶、卷叶。受害株数不得超过10%；</w:t>
      </w:r>
    </w:p>
    <w:p w14:paraId="7EE41231">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每年早春、晚秋对树干各涂白1次；涂白从树干基部向上涂1.2m～1.5m；同一路段、区域的涂白高度应保持一致，达到整齐美观的效果；</w:t>
      </w:r>
    </w:p>
    <w:p w14:paraId="6F516430">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花坛、花带轮廓清晰，整齐美观，适时开花，无残缺；</w:t>
      </w:r>
    </w:p>
    <w:p w14:paraId="35DEF36A">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一、二年生花卉，陆地栽培量少的，残缺病株不超过40%，局部更换，大于40%的全部更换；</w:t>
      </w:r>
    </w:p>
    <w:p w14:paraId="0D080A26">
      <w:pPr>
        <w:pStyle w:val="5"/>
        <w:numPr>
          <w:ilvl w:val="0"/>
          <w:numId w:val="4"/>
        </w:numPr>
        <w:ind w:left="0" w:firstLine="560"/>
        <w:rPr>
          <w:rFonts w:hint="eastAsia" w:ascii="仿宋_GB2312"/>
          <w:snapToGrid w:val="0"/>
          <w:kern w:val="0"/>
        </w:rPr>
      </w:pPr>
      <w:r>
        <w:rPr>
          <w:rFonts w:hint="eastAsia" w:ascii="仿宋_GB2312" w:cs="新宋体"/>
          <w:snapToGrid w:val="0"/>
          <w:kern w:val="0"/>
        </w:rPr>
        <w:t>宿根花卉，残缺病株不超过30%，局部更换补齐；</w:t>
      </w:r>
    </w:p>
    <w:p w14:paraId="627B1816">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草坪及地被植物整齐一致，覆盖率90%以上，草坪修剪高度控制在10cm范围内，一次修剪高度原则上不大于草高的1/3。除缀花草坪外草坪内杂草率不得超过10%，无大面积裸露地，无成片枯黄；</w:t>
      </w:r>
    </w:p>
    <w:p w14:paraId="36DD5137">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单子叶草坪每10年进行复壮更新，双子叶草坪每6年进行复壮更新。三年以上草坪必须每年应打孔疏草；</w:t>
      </w:r>
    </w:p>
    <w:p w14:paraId="5325D24B">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水生植物覆盖面积不超过水面的1/3，植物长势良好，基本完整，较美观；水面无杂质垃圾，残叶死株；</w:t>
      </w:r>
    </w:p>
    <w:p w14:paraId="67B541BB">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垂直绿化覆盖面不得低于70%，开花的攀援植物能适时开花。</w:t>
      </w:r>
    </w:p>
    <w:p w14:paraId="1FFC8A61">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病虫害控制及时。绿地内蛀干害虫的有虫株率不能超过3%。枝干病害感病株率不能超过5%。枝梢害虫发生时，枝梢被害率不能超过10%～15%或叶片上的有虫率不能超过10%～15%。蚧类害虫在树干表面10cm</w:t>
      </w:r>
      <w:r>
        <w:rPr>
          <w:rFonts w:hint="eastAsia" w:ascii="仿宋_GB2312" w:cs="新宋体"/>
          <w:snapToGrid w:val="0"/>
          <w:color w:val="000000"/>
          <w:kern w:val="0"/>
          <w:vertAlign w:val="superscript"/>
        </w:rPr>
        <w:t>2</w:t>
      </w:r>
      <w:r>
        <w:rPr>
          <w:rFonts w:hint="eastAsia" w:ascii="仿宋_GB2312" w:cs="新宋体"/>
          <w:snapToGrid w:val="0"/>
          <w:color w:val="000000"/>
          <w:kern w:val="0"/>
        </w:rPr>
        <w:t>固定若虫的数量不能超过3头，20cm枝条上发生数量不能超过5头/20cm枝条。食叶害虫虫口密度不能超过3头/50cm枝条，叶片受损率每株不得超过10%。叶部病害感病株率不能超过5%～7%；</w:t>
      </w:r>
    </w:p>
    <w:p w14:paraId="248CE630">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绿地整洁卫生，基本无杂草，基本无杂藤攀援植物，无污物杂物、无积水；对绿化生产垃圾（如树枝、树叶、草屑等），绿地内水面杂物日产日清，做到巡视保洁。</w:t>
      </w:r>
    </w:p>
    <w:p w14:paraId="1A8648DE">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栏杆、支撑架和护网、园路、桌椅、园灯、绿化井盖和牌示等园林设施完整、安全，基本做到维护及时。</w:t>
      </w:r>
    </w:p>
    <w:p w14:paraId="055E61E7">
      <w:pPr>
        <w:pStyle w:val="5"/>
        <w:numPr>
          <w:ilvl w:val="0"/>
          <w:numId w:val="4"/>
        </w:numPr>
        <w:ind w:left="0" w:firstLine="560"/>
        <w:rPr>
          <w:rFonts w:hint="eastAsia" w:ascii="仿宋_GB2312"/>
          <w:snapToGrid w:val="0"/>
          <w:color w:val="000000"/>
          <w:kern w:val="0"/>
        </w:rPr>
      </w:pPr>
      <w:r>
        <w:rPr>
          <w:rFonts w:hint="eastAsia" w:ascii="仿宋_GB2312" w:cs="新宋体"/>
          <w:snapToGrid w:val="0"/>
          <w:color w:val="000000"/>
          <w:kern w:val="0"/>
        </w:rPr>
        <w:t>绿地完整，无堆物、堆料、搭棚，树干上无钉拴刻画等现象。距树干2m范围内无堆物、堆料、圈栏或搭棚设摊等影响树木生长和养护管理的现象。</w:t>
      </w:r>
    </w:p>
    <w:p w14:paraId="1B847D41">
      <w:pPr>
        <w:pStyle w:val="5"/>
        <w:numPr>
          <w:ilvl w:val="0"/>
          <w:numId w:val="4"/>
        </w:numPr>
        <w:ind w:left="0" w:firstLine="560"/>
        <w:rPr>
          <w:rFonts w:hint="eastAsia" w:ascii="仿宋_GB2312"/>
        </w:rPr>
      </w:pPr>
      <w:r>
        <w:rPr>
          <w:rFonts w:hint="eastAsia" w:ascii="仿宋_GB2312" w:cs="新宋体"/>
          <w:snapToGrid w:val="0"/>
          <w:color w:val="000000"/>
          <w:kern w:val="0"/>
        </w:rPr>
        <w:t>消防设施完善。应符合消防安全管理规定的要求。</w:t>
      </w:r>
    </w:p>
    <w:p w14:paraId="4482996F">
      <w:pPr>
        <w:pStyle w:val="5"/>
        <w:ind w:firstLine="560"/>
        <w:rPr>
          <w:rFonts w:hint="eastAsia" w:ascii="仿宋_GB2312"/>
        </w:rPr>
      </w:pPr>
      <w:r>
        <w:rPr>
          <w:rFonts w:hint="eastAsia" w:ascii="仿宋_GB2312"/>
        </w:rPr>
        <w:t>3、园林绿化三级养护</w:t>
      </w:r>
    </w:p>
    <w:p w14:paraId="0A2BAD32">
      <w:pPr>
        <w:pStyle w:val="5"/>
        <w:ind w:firstLine="560"/>
        <w:rPr>
          <w:rFonts w:hint="eastAsia" w:ascii="仿宋_GB2312"/>
          <w:snapToGrid w:val="0"/>
        </w:rPr>
      </w:pPr>
      <w:r>
        <w:rPr>
          <w:rFonts w:hint="eastAsia" w:ascii="仿宋_GB2312"/>
          <w:snapToGrid w:val="0"/>
        </w:rPr>
        <w:t>绿化养护技术措施基本完善，植物配置基本合理。园林植物养护应达到下列标准：</w:t>
      </w:r>
    </w:p>
    <w:p w14:paraId="5CBA6F05">
      <w:pPr>
        <w:pStyle w:val="5"/>
        <w:numPr>
          <w:ilvl w:val="0"/>
          <w:numId w:val="5"/>
        </w:numPr>
        <w:ind w:left="0" w:firstLine="560"/>
        <w:rPr>
          <w:rFonts w:hint="eastAsia" w:ascii="仿宋_GB2312"/>
          <w:snapToGrid w:val="0"/>
        </w:rPr>
      </w:pPr>
      <w:r>
        <w:rPr>
          <w:rFonts w:hint="eastAsia" w:ascii="仿宋_GB2312"/>
          <w:snapToGrid w:val="0"/>
        </w:rPr>
        <w:t>新建绿地各种植物3年内达到正常形态,各园林植物凡经栽植成活一年以内，生长正常，保存率均应达到92%；</w:t>
      </w:r>
    </w:p>
    <w:p w14:paraId="0E8AC3E9">
      <w:pPr>
        <w:pStyle w:val="5"/>
        <w:numPr>
          <w:ilvl w:val="0"/>
          <w:numId w:val="5"/>
        </w:numPr>
        <w:ind w:left="0" w:firstLine="560"/>
        <w:rPr>
          <w:rFonts w:hint="eastAsia" w:ascii="仿宋_GB2312"/>
          <w:snapToGrid w:val="0"/>
        </w:rPr>
      </w:pPr>
      <w:r>
        <w:rPr>
          <w:rFonts w:hint="eastAsia" w:ascii="仿宋_GB2312"/>
          <w:snapToGrid w:val="0"/>
        </w:rPr>
        <w:t>树木树冠基本正常。修剪及时，无明显枯枝死叉。分枝点合适，枝条粗壮，行道树缺株率不超过2%，绿地内无死树；</w:t>
      </w:r>
    </w:p>
    <w:p w14:paraId="2FB6690F">
      <w:pPr>
        <w:pStyle w:val="5"/>
        <w:numPr>
          <w:ilvl w:val="0"/>
          <w:numId w:val="5"/>
        </w:numPr>
        <w:ind w:left="0" w:firstLine="560"/>
        <w:rPr>
          <w:rFonts w:hint="eastAsia" w:ascii="仿宋_GB2312"/>
          <w:snapToGrid w:val="0"/>
        </w:rPr>
      </w:pPr>
      <w:r>
        <w:rPr>
          <w:rFonts w:hint="eastAsia" w:ascii="仿宋_GB2312"/>
          <w:snapToGrid w:val="0"/>
        </w:rPr>
        <w:t>落叶树新梢生长基本正常，叶片大小、颜色正常，在正常条件下，有黄叶、焦叶、卷叶的株数不得超过15%；</w:t>
      </w:r>
    </w:p>
    <w:p w14:paraId="02337845">
      <w:pPr>
        <w:pStyle w:val="5"/>
        <w:numPr>
          <w:ilvl w:val="0"/>
          <w:numId w:val="5"/>
        </w:numPr>
        <w:ind w:left="0" w:firstLine="560"/>
        <w:rPr>
          <w:rFonts w:hint="eastAsia" w:ascii="仿宋_GB2312"/>
          <w:snapToGrid w:val="0"/>
        </w:rPr>
      </w:pPr>
      <w:r>
        <w:rPr>
          <w:rFonts w:hint="eastAsia" w:ascii="仿宋_GB2312"/>
          <w:snapToGrid w:val="0"/>
        </w:rPr>
        <w:t>每年应对树干涂白1次；涂白从树干基部向上涂1.2m～1.5m；同一路段、区域的涂白高度应保持一致，达到整齐美观的效果；</w:t>
      </w:r>
    </w:p>
    <w:p w14:paraId="4CDF5C35">
      <w:pPr>
        <w:pStyle w:val="5"/>
        <w:numPr>
          <w:ilvl w:val="0"/>
          <w:numId w:val="5"/>
        </w:numPr>
        <w:ind w:left="0" w:firstLine="560"/>
        <w:rPr>
          <w:rFonts w:hint="eastAsia" w:ascii="仿宋_GB2312"/>
          <w:snapToGrid w:val="0"/>
        </w:rPr>
      </w:pPr>
      <w:r>
        <w:rPr>
          <w:rFonts w:hint="eastAsia" w:ascii="仿宋_GB2312"/>
          <w:snapToGrid w:val="0"/>
        </w:rPr>
        <w:t>花坛、花带轮廓基本清晰、整齐美观，无残缺；</w:t>
      </w:r>
    </w:p>
    <w:p w14:paraId="2F36A78B">
      <w:pPr>
        <w:pStyle w:val="5"/>
        <w:numPr>
          <w:ilvl w:val="0"/>
          <w:numId w:val="5"/>
        </w:numPr>
        <w:ind w:left="0" w:firstLine="560"/>
        <w:rPr>
          <w:rFonts w:hint="eastAsia" w:ascii="仿宋_GB2312"/>
          <w:snapToGrid w:val="0"/>
        </w:rPr>
      </w:pPr>
      <w:r>
        <w:rPr>
          <w:rFonts w:hint="eastAsia" w:ascii="仿宋_GB2312"/>
          <w:snapToGrid w:val="0"/>
        </w:rPr>
        <w:t>一、二年生花卉，陆地栽培量少的，残缺病株不超过50%，局部更换，大于50%的全部更换；</w:t>
      </w:r>
    </w:p>
    <w:p w14:paraId="314A69F9">
      <w:pPr>
        <w:pStyle w:val="5"/>
        <w:numPr>
          <w:ilvl w:val="0"/>
          <w:numId w:val="5"/>
        </w:numPr>
        <w:ind w:left="0" w:firstLine="560"/>
        <w:rPr>
          <w:rFonts w:hint="eastAsia" w:ascii="仿宋_GB2312"/>
          <w:snapToGrid w:val="0"/>
        </w:rPr>
      </w:pPr>
      <w:r>
        <w:rPr>
          <w:rFonts w:hint="eastAsia" w:ascii="仿宋_GB2312"/>
          <w:snapToGrid w:val="0"/>
        </w:rPr>
        <w:t>宿根花卉，残缺病株不超过40%，局部更换补齐；</w:t>
      </w:r>
    </w:p>
    <w:p w14:paraId="1C2A0C3E">
      <w:pPr>
        <w:pStyle w:val="5"/>
        <w:numPr>
          <w:ilvl w:val="0"/>
          <w:numId w:val="5"/>
        </w:numPr>
        <w:ind w:left="0" w:firstLine="560"/>
        <w:rPr>
          <w:rFonts w:hint="eastAsia" w:ascii="仿宋_GB2312"/>
          <w:snapToGrid w:val="0"/>
        </w:rPr>
      </w:pPr>
      <w:r>
        <w:rPr>
          <w:rFonts w:hint="eastAsia" w:ascii="仿宋_GB2312"/>
          <w:snapToGrid w:val="0"/>
        </w:rPr>
        <w:t>草坪及地被植物整齐一致，覆盖率85%以上，草坪（除缀花草坪）内杂草率不得超过20%；</w:t>
      </w:r>
    </w:p>
    <w:p w14:paraId="71753162">
      <w:pPr>
        <w:pStyle w:val="5"/>
        <w:numPr>
          <w:ilvl w:val="0"/>
          <w:numId w:val="5"/>
        </w:numPr>
        <w:ind w:left="0" w:firstLine="560"/>
        <w:rPr>
          <w:rFonts w:hint="eastAsia" w:ascii="仿宋_GB2312"/>
          <w:snapToGrid w:val="0"/>
        </w:rPr>
      </w:pPr>
      <w:r>
        <w:rPr>
          <w:rFonts w:hint="eastAsia" w:ascii="仿宋_GB2312"/>
          <w:snapToGrid w:val="0"/>
        </w:rPr>
        <w:t>水生植物长势良好，较美观；水面基本无杂质垃圾，残叶死株；</w:t>
      </w:r>
    </w:p>
    <w:p w14:paraId="29174F01">
      <w:pPr>
        <w:pStyle w:val="5"/>
        <w:numPr>
          <w:ilvl w:val="0"/>
          <w:numId w:val="5"/>
        </w:numPr>
        <w:ind w:left="0" w:firstLine="560"/>
        <w:rPr>
          <w:rFonts w:hint="eastAsia" w:ascii="仿宋_GB2312"/>
          <w:snapToGrid w:val="0"/>
        </w:rPr>
      </w:pPr>
      <w:r>
        <w:rPr>
          <w:rFonts w:hint="eastAsia" w:ascii="仿宋_GB2312"/>
          <w:snapToGrid w:val="0"/>
        </w:rPr>
        <w:t>垂直绿化覆盖面不得低于55%。开花的攀援植物能适时开花。</w:t>
      </w:r>
    </w:p>
    <w:p w14:paraId="7AEF2F8A">
      <w:pPr>
        <w:pStyle w:val="5"/>
        <w:numPr>
          <w:ilvl w:val="0"/>
          <w:numId w:val="5"/>
        </w:numPr>
        <w:ind w:left="0" w:firstLine="560"/>
        <w:rPr>
          <w:rFonts w:hint="eastAsia" w:ascii="仿宋_GB2312"/>
          <w:snapToGrid w:val="0"/>
        </w:rPr>
      </w:pPr>
      <w:r>
        <w:rPr>
          <w:rFonts w:hint="eastAsia" w:ascii="仿宋_GB2312"/>
          <w:snapToGrid w:val="0"/>
        </w:rPr>
        <w:t>病虫害控制及时。绿地内蛀干害虫的有虫株率不能超过5%。枝干病害感病株率不能超过10%。蚜虫、红蜘蛛、叶蝉等枝梢害虫发生时，枝梢被害率不能超过15%或叶片上的有虫率不能超过20%。蚧类害虫在树干表面10cm</w:t>
      </w:r>
      <w:r>
        <w:rPr>
          <w:rFonts w:hint="eastAsia" w:ascii="仿宋_GB2312"/>
          <w:snapToGrid w:val="0"/>
          <w:vertAlign w:val="superscript"/>
        </w:rPr>
        <w:t>2</w:t>
      </w:r>
      <w:r>
        <w:rPr>
          <w:rFonts w:hint="eastAsia" w:ascii="仿宋_GB2312"/>
          <w:snapToGrid w:val="0"/>
        </w:rPr>
        <w:t>固定若虫的数量不能超过5头，20cm枝条上发生数量不能超过8头/20cm枝条。食叶害虫虫口密度不能超过5头/50cm枝条，叶片受损率每株不得超过15%。叶部病害感病株率不能超过10%；</w:t>
      </w:r>
    </w:p>
    <w:p w14:paraId="7EB72B22">
      <w:pPr>
        <w:pStyle w:val="5"/>
        <w:numPr>
          <w:ilvl w:val="0"/>
          <w:numId w:val="5"/>
        </w:numPr>
        <w:ind w:left="0" w:firstLine="560"/>
        <w:rPr>
          <w:rFonts w:hint="eastAsia" w:ascii="仿宋_GB2312"/>
          <w:snapToGrid w:val="0"/>
        </w:rPr>
      </w:pPr>
      <w:r>
        <w:rPr>
          <w:rFonts w:hint="eastAsia" w:ascii="仿宋_GB2312"/>
          <w:snapToGrid w:val="0"/>
        </w:rPr>
        <w:t>绿地基本整洁，无明显杂物，无白色污染，绿化生产垃圾（如树枝、树叶、草屑等），绿地内水面杂物能日产日清。</w:t>
      </w:r>
    </w:p>
    <w:p w14:paraId="24573C21">
      <w:pPr>
        <w:pStyle w:val="5"/>
        <w:numPr>
          <w:ilvl w:val="0"/>
          <w:numId w:val="5"/>
        </w:numPr>
        <w:ind w:left="0" w:firstLine="560"/>
        <w:rPr>
          <w:rFonts w:hint="eastAsia" w:ascii="仿宋_GB2312"/>
          <w:snapToGrid w:val="0"/>
        </w:rPr>
      </w:pPr>
      <w:r>
        <w:rPr>
          <w:rFonts w:hint="eastAsia" w:ascii="仿宋_GB2312"/>
          <w:snapToGrid w:val="0"/>
        </w:rPr>
        <w:t>栏杆、支撑架和护网、园路、桌椅、园灯、绿化井盖和牌示等园林设施基本完整，能进行维护。</w:t>
      </w:r>
    </w:p>
    <w:p w14:paraId="51D0A4AF">
      <w:pPr>
        <w:pStyle w:val="5"/>
        <w:numPr>
          <w:ilvl w:val="0"/>
          <w:numId w:val="5"/>
        </w:numPr>
        <w:ind w:left="0" w:firstLine="560"/>
        <w:rPr>
          <w:rFonts w:hint="eastAsia"/>
          <w:snapToGrid w:val="0"/>
        </w:rPr>
      </w:pPr>
      <w:r>
        <w:rPr>
          <w:rFonts w:hint="eastAsia" w:ascii="仿宋_GB2312"/>
          <w:snapToGrid w:val="0"/>
        </w:rPr>
        <w:t>消防设施完善。应符合消防安全管理规定的要求</w:t>
      </w:r>
      <w:r>
        <w:rPr>
          <w:rFonts w:hint="eastAsia"/>
          <w:snapToGrid w:val="0"/>
        </w:rPr>
        <w:t>。</w:t>
      </w:r>
    </w:p>
    <w:p w14:paraId="58E53237">
      <w:pPr>
        <w:pStyle w:val="3"/>
        <w:ind w:left="0" w:leftChars="0" w:firstLine="321" w:firstLineChars="100"/>
      </w:pPr>
      <w:bookmarkStart w:id="53" w:name="_Toc30352"/>
      <w:r>
        <w:rPr>
          <w:rFonts w:hint="eastAsia"/>
          <w:snapToGrid w:val="0"/>
        </w:rPr>
        <w:t>（五）公园作业服务</w:t>
      </w:r>
      <w:r>
        <w:rPr>
          <w:rFonts w:hint="eastAsia"/>
        </w:rPr>
        <w:t>质量标准与作业要求</w:t>
      </w:r>
      <w:bookmarkEnd w:id="53"/>
    </w:p>
    <w:p w14:paraId="6B3E3C44">
      <w:pPr>
        <w:pStyle w:val="5"/>
        <w:ind w:firstLine="560"/>
        <w:rPr>
          <w:rFonts w:hint="eastAsia"/>
        </w:rPr>
      </w:pPr>
      <w:r>
        <w:rPr>
          <w:rFonts w:hint="eastAsia"/>
        </w:rPr>
        <w:t xml:space="preserve">作业时间及要求：夏季上午8：00—12：00，下午16：00—22：00；冬季上午09：00—12：00，下午15：00—19：00，服务质量需求：达到相关考核标准，具体如下： </w:t>
      </w:r>
    </w:p>
    <w:p w14:paraId="02F32C38">
      <w:pPr>
        <w:pStyle w:val="5"/>
        <w:numPr>
          <w:ilvl w:val="1"/>
          <w:numId w:val="6"/>
        </w:numPr>
        <w:ind w:left="0" w:firstLine="560"/>
        <w:rPr>
          <w:rFonts w:hint="eastAsia"/>
        </w:rPr>
      </w:pPr>
      <w:r>
        <w:rPr>
          <w:rFonts w:hint="eastAsia"/>
        </w:rPr>
        <w:t>上班纪律：遵守作息时间，不迟到早退，不脱岗坐岗，不做与工作不相符的事，不打瞌睡，不乱放工具。着装上班，维护单位形象，语言文明，以理服人，文明规劝，主动清扫乱抛垃圾。</w:t>
      </w:r>
    </w:p>
    <w:p w14:paraId="30E069CA">
      <w:pPr>
        <w:pStyle w:val="5"/>
        <w:numPr>
          <w:ilvl w:val="1"/>
          <w:numId w:val="6"/>
        </w:numPr>
        <w:ind w:left="0" w:firstLine="560"/>
        <w:rPr>
          <w:rFonts w:hint="eastAsia"/>
        </w:rPr>
      </w:pPr>
      <w:r>
        <w:rPr>
          <w:rFonts w:hint="eastAsia"/>
        </w:rPr>
        <w:t>工作要求：早上清扫，全天保洁。标准：地面干净无垃圾，设施干净无污物，墙壁干净无积尘、无蛛网，公厕干净无异味，绿带干净无杂物，区域干净无死角，及时清垃圾，保证广场、园内整洁。</w:t>
      </w:r>
    </w:p>
    <w:p w14:paraId="37E0C713">
      <w:pPr>
        <w:pStyle w:val="5"/>
        <w:numPr>
          <w:ilvl w:val="1"/>
          <w:numId w:val="6"/>
        </w:numPr>
        <w:ind w:left="0" w:firstLine="560"/>
        <w:rPr>
          <w:rFonts w:hint="eastAsia"/>
        </w:rPr>
      </w:pPr>
      <w:r>
        <w:rPr>
          <w:rFonts w:hint="eastAsia"/>
        </w:rPr>
        <w:t xml:space="preserve">公园清扫的垃圾及时清运到指定地点，严禁将垃圾、粉尘清扫到绿化带、草坪、水篦子，严禁在园区、果皮箱及垃圾池焚烧垃圾。 </w:t>
      </w:r>
    </w:p>
    <w:p w14:paraId="63FCAE0C">
      <w:pPr>
        <w:pStyle w:val="5"/>
        <w:numPr>
          <w:ilvl w:val="1"/>
          <w:numId w:val="6"/>
        </w:numPr>
        <w:ind w:left="0" w:firstLine="560"/>
        <w:rPr>
          <w:rFonts w:hint="eastAsia"/>
        </w:rPr>
      </w:pPr>
      <w:r>
        <w:rPr>
          <w:rFonts w:hint="eastAsia"/>
        </w:rPr>
        <w:t xml:space="preserve">普扫：每天普扫1次（早上9点前完成）。普扫范围：公园内各小型广场、人行梯道、支马路、花园、花台、公厕，要求无明显暴露垃圾、灰尘及人行梯道无杂草；果皮箱外观干净无灰尘，箱底、路面无污垢；保证边沟和公厕干净下水管道通畅。 </w:t>
      </w:r>
    </w:p>
    <w:p w14:paraId="7EA2A398">
      <w:pPr>
        <w:pStyle w:val="5"/>
        <w:numPr>
          <w:ilvl w:val="1"/>
          <w:numId w:val="6"/>
        </w:numPr>
        <w:ind w:left="0" w:firstLine="560"/>
        <w:rPr>
          <w:rFonts w:hint="eastAsia"/>
        </w:rPr>
      </w:pPr>
      <w:r>
        <w:rPr>
          <w:rFonts w:hint="eastAsia"/>
        </w:rPr>
        <w:t>保洁时必须在9:00以前清理完绿化带内的白色垃圾，不得有暴露垃圾、陈旧烟头。不得将清扫的垃圾和沙土倾倒在绿化带内。</w:t>
      </w:r>
    </w:p>
    <w:p w14:paraId="4AEF4B94">
      <w:pPr>
        <w:pStyle w:val="5"/>
        <w:numPr>
          <w:ilvl w:val="1"/>
          <w:numId w:val="6"/>
        </w:numPr>
        <w:ind w:left="0" w:firstLine="560"/>
        <w:rPr>
          <w:rFonts w:hint="eastAsia"/>
        </w:rPr>
      </w:pPr>
      <w:r>
        <w:rPr>
          <w:rFonts w:hint="eastAsia"/>
        </w:rPr>
        <w:t>保洁时必须巡回走动，及时清理保洁范围内的明显垃圾，确保园内步道、场地干净、整洁、无积水，果皮箱、水池、花台外观无灰尘。</w:t>
      </w:r>
    </w:p>
    <w:p w14:paraId="67FF1600">
      <w:pPr>
        <w:pStyle w:val="5"/>
        <w:numPr>
          <w:ilvl w:val="1"/>
          <w:numId w:val="6"/>
        </w:numPr>
        <w:ind w:left="0" w:firstLine="560"/>
        <w:rPr>
          <w:rFonts w:hint="eastAsia"/>
        </w:rPr>
      </w:pPr>
      <w:r>
        <w:rPr>
          <w:rFonts w:hint="eastAsia"/>
        </w:rPr>
        <w:t>公园冲洗范围、标准和时间。冲洗范围：灯杆灯饰、果皮箱、栏杆、广场内的标志标牌及公共设施。冲洗标准：园内花台无污垢、积尘、泥沙、果皮纸屑；其他的表面无污垢、积尘、蜘蛛网等。栏杆表面用手触摸无灰尘、积物、明显的污渍，栏杆见本色。冲洗时间：公园人行步道及广场每年3-10月份，每月冲洗1-2次，特殊情况另行通知。每天对公园的广告牌，灯杆、灯柱、座椅、垃圾箱进行一次全面清洁和擦洗。</w:t>
      </w:r>
    </w:p>
    <w:p w14:paraId="2E4AD7B9">
      <w:pPr>
        <w:pStyle w:val="5"/>
        <w:numPr>
          <w:ilvl w:val="1"/>
          <w:numId w:val="6"/>
        </w:numPr>
        <w:ind w:left="0" w:firstLine="560"/>
        <w:rPr>
          <w:rFonts w:hint="eastAsia"/>
        </w:rPr>
      </w:pPr>
      <w:r>
        <w:rPr>
          <w:rFonts w:hint="eastAsia"/>
        </w:rPr>
        <w:t>公园内公厕做到地面干净整洁无积液，墙面无污物、无蜘蛛网，便槽干净无污垢。负责管理好公厕内的各种公共设施，发现有损坏的公共设施能修理的及时修理，不能修理的必须在1小时内报告给片区管理人员，由管理员上报公园广场管理所后安排人员进行维修。</w:t>
      </w:r>
    </w:p>
    <w:p w14:paraId="1AC6740C">
      <w:pPr>
        <w:pStyle w:val="5"/>
        <w:numPr>
          <w:ilvl w:val="1"/>
          <w:numId w:val="6"/>
        </w:numPr>
        <w:ind w:left="0" w:firstLine="560"/>
        <w:rPr>
          <w:rFonts w:hint="eastAsia"/>
        </w:rPr>
      </w:pPr>
      <w:r>
        <w:rPr>
          <w:rFonts w:hint="eastAsia"/>
        </w:rPr>
        <w:t>除尘：主要是对公园公厕、廊、亭等建筑物上的蜘蛛网、灰尘进行清除；每月必须全面清理1次。</w:t>
      </w:r>
    </w:p>
    <w:p w14:paraId="42BF60BF">
      <w:pPr>
        <w:pStyle w:val="5"/>
        <w:numPr>
          <w:ilvl w:val="1"/>
          <w:numId w:val="6"/>
        </w:numPr>
        <w:ind w:left="0" w:firstLine="560"/>
        <w:rPr>
          <w:rFonts w:hint="eastAsia"/>
        </w:rPr>
      </w:pPr>
      <w:r>
        <w:rPr>
          <w:rFonts w:hint="eastAsia"/>
        </w:rPr>
        <w:t>池塘水域：满水前对池塘进行全面清扫1次，确保塘（池）底干净，满水期间水面无垃圾、漂浮物；枯水期前对池塘全面清理1次，枯水期期间做好塘（池）底垃圾、杂物拾捡工作，保持塘（池）底干净。</w:t>
      </w:r>
    </w:p>
    <w:p w14:paraId="0F30B556">
      <w:pPr>
        <w:ind w:firstLine="560" w:firstLineChars="200"/>
        <w:rPr>
          <w:rFonts w:hint="eastAsia" w:ascii="仿宋_GB2312" w:hAnsi="宋体" w:eastAsia="仿宋_GB2312" w:cs="Calibri"/>
          <w:b/>
          <w:bCs/>
        </w:rPr>
      </w:pPr>
      <w:r>
        <w:rPr>
          <w:rFonts w:hint="eastAsia"/>
        </w:rPr>
        <w:t>完成领导交办的其它工作任务</w:t>
      </w:r>
    </w:p>
    <w:p w14:paraId="0EADB923">
      <w:pPr>
        <w:pStyle w:val="3"/>
        <w:ind w:firstLine="321"/>
        <w:rPr>
          <w:snapToGrid w:val="0"/>
        </w:rPr>
      </w:pPr>
      <w:bookmarkStart w:id="54" w:name="_Toc2961"/>
      <w:r>
        <w:rPr>
          <w:rFonts w:hint="eastAsia"/>
          <w:snapToGrid w:val="0"/>
        </w:rPr>
        <w:t>（六）路灯管理质量标准与作业要求</w:t>
      </w:r>
      <w:bookmarkEnd w:id="54"/>
    </w:p>
    <w:p w14:paraId="1002C29F">
      <w:pPr>
        <w:pStyle w:val="5"/>
        <w:ind w:firstLine="560"/>
        <w:rPr>
          <w:rFonts w:hint="eastAsia" w:ascii="仿宋_GB2312"/>
          <w:szCs w:val="28"/>
        </w:rPr>
      </w:pPr>
      <w:r>
        <w:rPr>
          <w:rFonts w:hint="eastAsia" w:ascii="仿宋_GB2312"/>
          <w:szCs w:val="28"/>
        </w:rPr>
        <w:t>1、质量标准</w:t>
      </w:r>
    </w:p>
    <w:p w14:paraId="452D2A86">
      <w:pPr>
        <w:ind w:firstLine="560" w:firstLineChars="200"/>
        <w:rPr>
          <w:rFonts w:hint="eastAsia" w:ascii="仿宋_GB2312" w:hAnsi="宋体" w:eastAsia="仿宋_GB2312" w:cs="Calibri"/>
          <w:szCs w:val="28"/>
        </w:rPr>
      </w:pPr>
      <w:r>
        <w:rPr>
          <w:rFonts w:hint="eastAsia" w:ascii="仿宋_GB2312" w:hAnsi="宋体" w:eastAsia="仿宋_GB2312" w:cs="Calibri"/>
          <w:szCs w:val="28"/>
        </w:rPr>
        <w:t>路灯配套设施完成，主干道亮灯率达到98%、次干道亮灯率达到95%。</w:t>
      </w:r>
    </w:p>
    <w:p w14:paraId="15B192F0">
      <w:pPr>
        <w:pStyle w:val="5"/>
        <w:ind w:firstLine="560"/>
        <w:rPr>
          <w:rFonts w:hint="eastAsia" w:ascii="仿宋_GB2312"/>
          <w:szCs w:val="28"/>
        </w:rPr>
      </w:pPr>
      <w:r>
        <w:rPr>
          <w:rFonts w:hint="eastAsia" w:ascii="仿宋_GB2312"/>
          <w:szCs w:val="28"/>
        </w:rPr>
        <w:t>2、路灯管理标准及相关要求</w:t>
      </w:r>
    </w:p>
    <w:p w14:paraId="188A5043">
      <w:pPr>
        <w:pStyle w:val="5"/>
        <w:ind w:firstLine="560"/>
        <w:rPr>
          <w:rFonts w:hint="eastAsia" w:ascii="仿宋_GB2312"/>
          <w:szCs w:val="28"/>
          <w:lang w:bidi="zh-CN"/>
        </w:rPr>
      </w:pPr>
      <w:r>
        <w:rPr>
          <w:rFonts w:hint="eastAsia" w:ascii="仿宋_GB2312"/>
          <w:szCs w:val="28"/>
          <w:lang w:bidi="zh-CN"/>
        </w:rPr>
        <w:t>（1）变压器、计量：</w:t>
      </w:r>
    </w:p>
    <w:p w14:paraId="18606BD3">
      <w:pPr>
        <w:pStyle w:val="5"/>
        <w:ind w:firstLine="560"/>
        <w:rPr>
          <w:rFonts w:hint="eastAsia" w:ascii="仿宋_GB2312"/>
          <w:szCs w:val="28"/>
          <w:lang w:bidi="zh-CN"/>
        </w:rPr>
      </w:pPr>
      <w:r>
        <w:rPr>
          <w:rFonts w:hint="eastAsia" w:ascii="仿宋_GB2312"/>
          <w:szCs w:val="28"/>
          <w:lang w:bidi="zh-CN"/>
        </w:rPr>
        <w:t>变压器的工作情况、油位、油温正常又不漏油、接线良好。用电计量准确，发现问题及时处理或报管理单位处理，并作详细记录。</w:t>
      </w:r>
    </w:p>
    <w:p w14:paraId="315A5BF3">
      <w:pPr>
        <w:pStyle w:val="5"/>
        <w:ind w:firstLine="560"/>
        <w:rPr>
          <w:rFonts w:hint="eastAsia" w:ascii="仿宋_GB2312"/>
          <w:szCs w:val="28"/>
          <w:lang w:bidi="zh-CN"/>
        </w:rPr>
      </w:pPr>
      <w:r>
        <w:rPr>
          <w:rFonts w:hint="eastAsia" w:ascii="仿宋_GB2312"/>
          <w:szCs w:val="28"/>
          <w:lang w:bidi="zh-CN"/>
        </w:rPr>
        <w:t>（2）路灯控制</w:t>
      </w:r>
    </w:p>
    <w:p w14:paraId="306E610E">
      <w:pPr>
        <w:pStyle w:val="5"/>
        <w:ind w:firstLine="560"/>
        <w:rPr>
          <w:rFonts w:hint="eastAsia" w:ascii="仿宋_GB2312"/>
          <w:szCs w:val="28"/>
          <w:lang w:bidi="zh-CN"/>
        </w:rPr>
      </w:pPr>
      <w:r>
        <w:rPr>
          <w:rFonts w:hint="eastAsia" w:ascii="仿宋_GB2312"/>
          <w:szCs w:val="28"/>
          <w:lang w:bidi="zh-CN"/>
        </w:rPr>
        <w:t>保证开关元件连接好，不过热、清洁、工作正常。开关至变压器线路完好无损，工作正常。</w:t>
      </w:r>
    </w:p>
    <w:p w14:paraId="214304AF">
      <w:pPr>
        <w:pStyle w:val="5"/>
        <w:ind w:firstLine="560"/>
        <w:rPr>
          <w:rFonts w:hint="eastAsia" w:ascii="仿宋_GB2312"/>
          <w:szCs w:val="28"/>
          <w:lang w:bidi="zh-CN"/>
        </w:rPr>
      </w:pPr>
      <w:r>
        <w:rPr>
          <w:rFonts w:hint="eastAsia" w:ascii="仿宋_GB2312"/>
          <w:szCs w:val="28"/>
          <w:lang w:bidi="zh-CN"/>
        </w:rPr>
        <w:t>（3）地埋、架空、灯杆内线路完好无损，发现问题及时处理，重大问题及时向检查人员汇报，确定事故责任。</w:t>
      </w:r>
    </w:p>
    <w:p w14:paraId="75420808">
      <w:pPr>
        <w:pStyle w:val="5"/>
        <w:ind w:firstLine="560"/>
        <w:rPr>
          <w:rFonts w:hint="eastAsia" w:ascii="仿宋_GB2312"/>
          <w:szCs w:val="28"/>
          <w:lang w:bidi="zh-CN"/>
        </w:rPr>
      </w:pPr>
      <w:r>
        <w:rPr>
          <w:rFonts w:hint="eastAsia" w:ascii="仿宋_GB2312"/>
          <w:szCs w:val="28"/>
          <w:lang w:bidi="zh-CN"/>
        </w:rPr>
        <w:t>（4）早晚巡查路灯，根据季节变化，随时调整控制路灯开关时间，原则上，天黑亮、天亮熄。以天黑尽、天亮明为标准，不得超过±5分钟，另外有规定的照规定执行。</w:t>
      </w:r>
    </w:p>
    <w:p w14:paraId="0C8CD288">
      <w:pPr>
        <w:pStyle w:val="5"/>
        <w:ind w:firstLine="560"/>
        <w:rPr>
          <w:rFonts w:hint="eastAsia" w:ascii="仿宋_GB2312"/>
          <w:szCs w:val="28"/>
          <w:lang w:bidi="zh-CN"/>
        </w:rPr>
      </w:pPr>
      <w:r>
        <w:rPr>
          <w:rFonts w:hint="eastAsia" w:ascii="仿宋_GB2312"/>
          <w:szCs w:val="28"/>
          <w:lang w:bidi="zh-CN"/>
        </w:rPr>
        <w:t>（5）线路处理后，破坏的基础设施及时恢复，垃圾清运出现场。</w:t>
      </w:r>
    </w:p>
    <w:p w14:paraId="1BE5608F">
      <w:pPr>
        <w:pStyle w:val="5"/>
        <w:ind w:firstLine="560"/>
        <w:rPr>
          <w:rFonts w:hint="eastAsia" w:ascii="仿宋_GB2312"/>
          <w:szCs w:val="28"/>
          <w:lang w:bidi="zh-CN"/>
        </w:rPr>
      </w:pPr>
      <w:r>
        <w:rPr>
          <w:rFonts w:hint="eastAsia" w:ascii="仿宋_GB2312"/>
          <w:szCs w:val="28"/>
          <w:lang w:bidi="zh-CN"/>
        </w:rPr>
        <w:t>（6）更换材料有时间、地点、故障原因，用材料依据等相关记录。</w:t>
      </w:r>
    </w:p>
    <w:p w14:paraId="5BCF1638">
      <w:pPr>
        <w:pStyle w:val="5"/>
        <w:ind w:firstLine="560"/>
        <w:rPr>
          <w:rFonts w:hint="eastAsia" w:ascii="仿宋_GB2312"/>
          <w:szCs w:val="28"/>
          <w:lang w:bidi="zh-CN"/>
        </w:rPr>
      </w:pPr>
      <w:r>
        <w:rPr>
          <w:rFonts w:hint="eastAsia" w:ascii="仿宋_GB2312"/>
          <w:szCs w:val="28"/>
          <w:lang w:bidi="zh-CN"/>
        </w:rPr>
        <w:t>（7）变压器、计量、线路、杆、架、灯具和灯亮熄事故处理要有详细原因分析，处理结论等记录。</w:t>
      </w:r>
    </w:p>
    <w:p w14:paraId="329727B4">
      <w:pPr>
        <w:pStyle w:val="5"/>
        <w:ind w:firstLine="560"/>
        <w:rPr>
          <w:rFonts w:hint="eastAsia" w:ascii="仿宋_GB2312"/>
          <w:szCs w:val="28"/>
          <w:lang w:bidi="zh-CN"/>
        </w:rPr>
      </w:pPr>
      <w:r>
        <w:rPr>
          <w:rFonts w:hint="eastAsia" w:ascii="仿宋_GB2312"/>
          <w:szCs w:val="28"/>
          <w:lang w:bidi="zh-CN"/>
        </w:rPr>
        <w:t>（8）维修路灯处理事故按电器操作规则进行，不得造成二次人为事故。</w:t>
      </w:r>
    </w:p>
    <w:p w14:paraId="6B5725C5">
      <w:pPr>
        <w:pStyle w:val="5"/>
        <w:ind w:firstLine="560"/>
        <w:rPr>
          <w:rFonts w:hint="eastAsia" w:ascii="仿宋_GB2312"/>
          <w:szCs w:val="28"/>
          <w:lang w:bidi="zh-CN"/>
        </w:rPr>
      </w:pPr>
      <w:r>
        <w:rPr>
          <w:rFonts w:hint="eastAsia" w:ascii="仿宋_GB2312"/>
          <w:szCs w:val="28"/>
          <w:lang w:bidi="zh-CN"/>
        </w:rPr>
        <w:t>（9）管护区范围内的所有路灯进行日常的巡查，确保城市主干道路灯、景观灯亮灯率达到98%，城市次干道及其它道路路灯、景观灯和广场、休闲景点路灯、景观灯亮灯、楼体亮化率达到95%。</w:t>
      </w:r>
    </w:p>
    <w:p w14:paraId="3CC9A7DF">
      <w:pPr>
        <w:pStyle w:val="5"/>
        <w:ind w:firstLine="560"/>
        <w:rPr>
          <w:rFonts w:hint="eastAsia" w:ascii="仿宋_GB2312"/>
          <w:szCs w:val="28"/>
          <w:lang w:bidi="zh-CN"/>
        </w:rPr>
      </w:pPr>
      <w:r>
        <w:rPr>
          <w:rFonts w:hint="eastAsia" w:ascii="仿宋_GB2312"/>
          <w:szCs w:val="28"/>
          <w:lang w:bidi="zh-CN"/>
        </w:rPr>
        <w:t>（10）维修人员应按《劳动法》等法律、政策规定完善手续，维修人员必须持本人所取得的有效证件上岗，不得冒用他人证件顶替上岗，需将维修人员有效证件复印件交业主方登记备案；维修人员，在对路灯设施进行维修作业时，必须统一着装（安全帽、工作服、安全标志齐全）。</w:t>
      </w:r>
    </w:p>
    <w:p w14:paraId="22E3164D">
      <w:pPr>
        <w:pStyle w:val="5"/>
        <w:ind w:firstLine="560"/>
        <w:rPr>
          <w:rFonts w:hint="eastAsia" w:ascii="仿宋_GB2312"/>
          <w:szCs w:val="28"/>
          <w:lang w:bidi="zh-CN"/>
        </w:rPr>
      </w:pPr>
      <w:r>
        <w:rPr>
          <w:rFonts w:hint="eastAsia" w:ascii="仿宋_GB2312"/>
          <w:szCs w:val="28"/>
          <w:lang w:bidi="zh-CN"/>
        </w:rPr>
        <w:t>（11）每月于28日前对本月所维护的路灯、霓虹灯、景观灯、地埋灯、控制柜、变压器、线路等各种相关设施安全检查中所发现的隐患及处理结果书面报路灯管理处。报告中各项情况具体说明，必须由负责人签字、检查人员签字和维护公司签章。</w:t>
      </w:r>
    </w:p>
    <w:p w14:paraId="09674B9D">
      <w:pPr>
        <w:pStyle w:val="5"/>
        <w:ind w:firstLine="560"/>
        <w:rPr>
          <w:rFonts w:hint="eastAsia"/>
          <w:lang w:bidi="zh-CN"/>
        </w:rPr>
      </w:pPr>
      <w:r>
        <w:rPr>
          <w:rFonts w:hint="eastAsia" w:ascii="仿宋_GB2312"/>
          <w:szCs w:val="28"/>
          <w:lang w:bidi="zh-CN"/>
        </w:rPr>
        <w:t>（12）因维护公司管理不善致使路灯、霓虹灯设施倒塌、坠落或线路漏电，伤及到人、动物、物品、车辆等，维护公司维修人员维修作业过程中，引发的安全事故，一切责任由维护公司负责。</w:t>
      </w:r>
    </w:p>
    <w:p w14:paraId="05F8B199">
      <w:pPr>
        <w:pStyle w:val="3"/>
        <w:ind w:firstLine="321"/>
        <w:rPr>
          <w:snapToGrid w:val="0"/>
        </w:rPr>
      </w:pPr>
      <w:bookmarkStart w:id="55" w:name="_Toc13883"/>
      <w:r>
        <w:rPr>
          <w:rFonts w:hint="eastAsia"/>
          <w:snapToGrid w:val="0"/>
        </w:rPr>
        <w:t>（七）市政设施维修维护质量标准与作业要求</w:t>
      </w:r>
      <w:bookmarkEnd w:id="55"/>
    </w:p>
    <w:p w14:paraId="097B2E3B">
      <w:pPr>
        <w:pStyle w:val="5"/>
        <w:ind w:firstLine="560"/>
        <w:rPr>
          <w:rFonts w:hint="eastAsia" w:ascii="仿宋_GB2312"/>
        </w:rPr>
      </w:pPr>
      <w:r>
        <w:rPr>
          <w:rFonts w:hint="eastAsia" w:ascii="仿宋_GB2312"/>
        </w:rPr>
        <w:t>1、质量标准</w:t>
      </w:r>
    </w:p>
    <w:p w14:paraId="23897BF4">
      <w:pPr>
        <w:ind w:firstLine="560" w:firstLineChars="200"/>
        <w:rPr>
          <w:rFonts w:hint="eastAsia" w:ascii="仿宋_GB2312" w:hAnsi="宋体" w:eastAsia="仿宋_GB2312" w:cs="Calibri"/>
        </w:rPr>
      </w:pPr>
      <w:r>
        <w:rPr>
          <w:rFonts w:hint="eastAsia" w:ascii="仿宋_GB2312" w:hAnsi="宋体" w:eastAsia="仿宋_GB2312" w:cs="Calibri"/>
        </w:rPr>
        <w:t>质量要求满足《城镇道路养护技术规范》（CJJ36-2006）、《城市道路养护技术规程》（DB50/T232-2006）、《城市道路维修工程施工及验收规程》（DB50/T283-2008）、《城市道路维修工程设计规范》（DB50/T305-2008）。</w:t>
      </w:r>
    </w:p>
    <w:p w14:paraId="7160D858">
      <w:pPr>
        <w:pStyle w:val="5"/>
        <w:ind w:firstLine="560"/>
        <w:rPr>
          <w:rFonts w:hint="eastAsia" w:ascii="仿宋_GB2312"/>
        </w:rPr>
      </w:pPr>
      <w:r>
        <w:rPr>
          <w:rFonts w:hint="eastAsia" w:ascii="仿宋_GB2312"/>
        </w:rPr>
        <w:t>2、作业要求</w:t>
      </w:r>
    </w:p>
    <w:p w14:paraId="6EB21EA0">
      <w:pPr>
        <w:ind w:firstLine="560" w:firstLineChars="200"/>
        <w:rPr>
          <w:rFonts w:hint="eastAsia" w:ascii="仿宋_GB2312" w:hAnsi="宋体" w:eastAsia="仿宋_GB2312" w:cs="Calibri"/>
        </w:rPr>
      </w:pPr>
      <w:r>
        <w:rPr>
          <w:rFonts w:hint="eastAsia" w:ascii="仿宋_GB2312" w:hAnsi="宋体" w:eastAsia="仿宋_GB2312" w:cs="Calibri"/>
        </w:rPr>
        <w:t>（1）</w:t>
      </w:r>
      <w:r>
        <w:rPr>
          <w:rFonts w:hint="eastAsia" w:ascii="仿宋_GB2312" w:hAnsi="宋体" w:eastAsia="仿宋_GB2312" w:cs="Calibri"/>
        </w:rPr>
        <w:tab/>
      </w:r>
      <w:r>
        <w:rPr>
          <w:rFonts w:hint="eastAsia" w:ascii="仿宋_GB2312" w:hAnsi="宋体" w:eastAsia="仿宋_GB2312" w:cs="Calibri"/>
        </w:rPr>
        <w:t>对其养护区域内设施进行日常巡查，将巡查发现问题进行标记和拍照丈量后整理建档，并及时报送至甲方，存在即时安全隐患的应立即设置安全警示或围闭，若因未能巡查发现道路、人行道或市政设施损坏，造成安全事故或群众人身及财产损失，由管护单位承担相应赔偿责任。</w:t>
      </w:r>
    </w:p>
    <w:p w14:paraId="457523B0">
      <w:pPr>
        <w:ind w:firstLine="560" w:firstLineChars="200"/>
        <w:rPr>
          <w:rFonts w:hint="eastAsia" w:ascii="仿宋_GB2312" w:hAnsi="宋体" w:eastAsia="仿宋_GB2312" w:cs="Calibri"/>
        </w:rPr>
      </w:pPr>
      <w:r>
        <w:rPr>
          <w:rFonts w:hint="eastAsia" w:ascii="仿宋_GB2312" w:hAnsi="宋体" w:eastAsia="仿宋_GB2312" w:cs="Calibri"/>
        </w:rPr>
        <w:t>（2）</w:t>
      </w:r>
      <w:r>
        <w:rPr>
          <w:rFonts w:hint="eastAsia" w:ascii="仿宋_GB2312" w:hAnsi="宋体" w:eastAsia="仿宋_GB2312" w:cs="Calibri"/>
        </w:rPr>
        <w:tab/>
      </w:r>
      <w:r>
        <w:rPr>
          <w:rFonts w:hint="eastAsia" w:ascii="仿宋_GB2312" w:hAnsi="宋体" w:eastAsia="仿宋_GB2312" w:cs="Calibri"/>
        </w:rPr>
        <w:t>按合理要求投入机械设备和人员，拟保证在规定时间内完成施工任务。若管护单位未能按需求配备或未按开工通知单要求，施工时投入人员和机械设备的，都将被扣分。</w:t>
      </w:r>
    </w:p>
    <w:p w14:paraId="447A1758">
      <w:pPr>
        <w:ind w:firstLine="560" w:firstLineChars="200"/>
        <w:rPr>
          <w:rFonts w:hint="eastAsia" w:ascii="仿宋_GB2312" w:hAnsi="宋体" w:eastAsia="仿宋_GB2312" w:cs="Calibri"/>
        </w:rPr>
      </w:pPr>
      <w:r>
        <w:rPr>
          <w:rFonts w:hint="eastAsia" w:ascii="仿宋_GB2312" w:hAnsi="宋体" w:eastAsia="仿宋_GB2312" w:cs="Calibri"/>
        </w:rPr>
        <w:t>（3）</w:t>
      </w:r>
      <w:r>
        <w:rPr>
          <w:rFonts w:hint="eastAsia" w:ascii="仿宋_GB2312" w:hAnsi="宋体" w:eastAsia="仿宋_GB2312" w:cs="Calibri"/>
        </w:rPr>
        <w:tab/>
      </w:r>
      <w:r>
        <w:rPr>
          <w:rFonts w:hint="eastAsia" w:ascii="仿宋_GB2312" w:hAnsi="宋体" w:eastAsia="仿宋_GB2312" w:cs="Calibri"/>
        </w:rPr>
        <w:t>管护单位落实安全生产和文明施工措施，承担全部安全生产责任，作业人员上岗前必须进行安全教育和技术培训，为上岗工人配置统一的工作服、反光衣和施工围档等安全装备。</w:t>
      </w:r>
    </w:p>
    <w:p w14:paraId="0E6ACE19">
      <w:pPr>
        <w:ind w:firstLine="560" w:firstLineChars="200"/>
        <w:rPr>
          <w:rFonts w:hint="eastAsia" w:ascii="仿宋_GB2312" w:hAnsi="宋体" w:eastAsia="仿宋_GB2312" w:cs="Calibri"/>
        </w:rPr>
      </w:pPr>
      <w:r>
        <w:rPr>
          <w:rFonts w:hint="eastAsia" w:ascii="仿宋_GB2312" w:hAnsi="宋体" w:eastAsia="仿宋_GB2312" w:cs="Calibri"/>
        </w:rPr>
        <w:t>（4）</w:t>
      </w:r>
      <w:r>
        <w:rPr>
          <w:rFonts w:hint="eastAsia" w:ascii="仿宋_GB2312" w:hAnsi="宋体" w:eastAsia="仿宋_GB2312" w:cs="Calibri"/>
        </w:rPr>
        <w:tab/>
      </w:r>
      <w:r>
        <w:rPr>
          <w:rFonts w:hint="eastAsia" w:ascii="仿宋_GB2312" w:hAnsi="宋体" w:eastAsia="仿宋_GB2312" w:cs="Calibri"/>
        </w:rPr>
        <w:t>在合同期内，因城市建设或政府政策需要调整维护范围时，管护单位无条件服从大局相应调整管护范围。因调整管养范围，给管护单位带来的影响，管护单位应进行综合评估，并且甲方不支付此类风险费用。</w:t>
      </w:r>
    </w:p>
    <w:p w14:paraId="4C222EA5">
      <w:pPr>
        <w:ind w:firstLine="560" w:firstLineChars="200"/>
        <w:rPr>
          <w:rFonts w:hint="eastAsia" w:ascii="仿宋_GB2312" w:hAnsi="宋体" w:eastAsia="仿宋_GB2312" w:cs="Calibri"/>
        </w:rPr>
      </w:pPr>
      <w:r>
        <w:rPr>
          <w:rFonts w:hint="eastAsia" w:ascii="仿宋_GB2312" w:hAnsi="宋体" w:eastAsia="仿宋_GB2312" w:cs="Calibri"/>
        </w:rPr>
        <w:t>（5）</w:t>
      </w:r>
      <w:r>
        <w:rPr>
          <w:rFonts w:hint="eastAsia" w:ascii="仿宋_GB2312" w:hAnsi="宋体" w:eastAsia="仿宋_GB2312" w:cs="Calibri"/>
        </w:rPr>
        <w:tab/>
      </w:r>
      <w:r>
        <w:rPr>
          <w:rFonts w:hint="eastAsia" w:ascii="仿宋_GB2312" w:hAnsi="宋体" w:eastAsia="仿宋_GB2312" w:cs="Calibri"/>
        </w:rPr>
        <w:t>管护单位每季度组织不少于一次安全生产培训及应急抢险演练。</w:t>
      </w:r>
    </w:p>
    <w:p w14:paraId="7F9F3A6F">
      <w:pPr>
        <w:ind w:firstLine="560" w:firstLineChars="200"/>
        <w:rPr>
          <w:rFonts w:hint="eastAsia" w:ascii="仿宋_GB2312" w:hAnsi="宋体" w:eastAsia="仿宋_GB2312" w:cs="Calibri"/>
        </w:rPr>
      </w:pPr>
      <w:r>
        <w:rPr>
          <w:rFonts w:hint="eastAsia" w:ascii="仿宋_GB2312" w:hAnsi="宋体" w:eastAsia="仿宋_GB2312" w:cs="Calibri"/>
        </w:rPr>
        <w:t>（6）</w:t>
      </w:r>
      <w:r>
        <w:rPr>
          <w:rFonts w:hint="eastAsia" w:ascii="仿宋_GB2312" w:hAnsi="宋体" w:eastAsia="仿宋_GB2312" w:cs="Calibri"/>
        </w:rPr>
        <w:tab/>
      </w:r>
      <w:r>
        <w:rPr>
          <w:rFonts w:hint="eastAsia" w:ascii="仿宋_GB2312" w:hAnsi="宋体" w:eastAsia="仿宋_GB2312" w:cs="Calibri"/>
        </w:rPr>
        <w:t>管护单位派出的维护管护人员应具备相关的专业知识及技术水平，熟悉本项目维护工作所需设施、设备的规格、技术指标及安装工艺，有足够能力完成市政设施、路灯设施及沥青路面等各项维护工作。</w:t>
      </w:r>
    </w:p>
    <w:p w14:paraId="6EF4D4AD">
      <w:pPr>
        <w:ind w:firstLine="560" w:firstLineChars="200"/>
        <w:rPr>
          <w:rFonts w:hint="eastAsia" w:ascii="仿宋_GB2312" w:hAnsi="宋体" w:eastAsia="仿宋_GB2312" w:cs="Calibri"/>
        </w:rPr>
      </w:pPr>
      <w:r>
        <w:rPr>
          <w:rFonts w:hint="eastAsia" w:ascii="仿宋_GB2312" w:hAnsi="宋体" w:eastAsia="仿宋_GB2312" w:cs="Calibri"/>
        </w:rPr>
        <w:t>（7）</w:t>
      </w:r>
      <w:r>
        <w:rPr>
          <w:rFonts w:hint="eastAsia" w:ascii="仿宋_GB2312" w:hAnsi="宋体" w:eastAsia="仿宋_GB2312" w:cs="Calibri"/>
        </w:rPr>
        <w:tab/>
      </w:r>
      <w:r>
        <w:rPr>
          <w:rFonts w:hint="eastAsia" w:ascii="仿宋_GB2312" w:hAnsi="宋体" w:eastAsia="仿宋_GB2312" w:cs="Calibri"/>
        </w:rPr>
        <w:t>管护单位在日常养护施工中所产生的施工废料必需通过合法途径进行处理，所需费用以甲方审核结算价为准。</w:t>
      </w:r>
    </w:p>
    <w:p w14:paraId="3CB2BB2F">
      <w:pPr>
        <w:ind w:firstLine="560" w:firstLineChars="200"/>
        <w:rPr>
          <w:rFonts w:hint="eastAsia" w:ascii="仿宋_GB2312" w:hAnsi="宋体" w:eastAsia="仿宋_GB2312" w:cs="Calibri"/>
        </w:rPr>
      </w:pPr>
      <w:r>
        <w:rPr>
          <w:rFonts w:hint="eastAsia" w:ascii="仿宋_GB2312" w:hAnsi="宋体" w:eastAsia="仿宋_GB2312" w:cs="Calibri"/>
        </w:rPr>
        <w:t>（8）</w:t>
      </w:r>
      <w:r>
        <w:rPr>
          <w:rFonts w:hint="eastAsia" w:ascii="仿宋_GB2312" w:hAnsi="宋体" w:eastAsia="仿宋_GB2312" w:cs="Calibri"/>
        </w:rPr>
        <w:tab/>
      </w:r>
      <w:r>
        <w:rPr>
          <w:rFonts w:hint="eastAsia" w:ascii="仿宋_GB2312" w:hAnsi="宋体" w:eastAsia="仿宋_GB2312" w:cs="Calibri"/>
        </w:rPr>
        <w:t>如管护单位有自毁、自盗行为，除须赔偿甲方的损失外，且将被终止合同并依法追究其自毁、自盗行为的相关法律责任。</w:t>
      </w:r>
    </w:p>
    <w:p w14:paraId="77C57205">
      <w:pPr>
        <w:ind w:firstLine="560" w:firstLineChars="200"/>
        <w:rPr>
          <w:rFonts w:hint="eastAsia" w:ascii="仿宋_GB2312" w:hAnsi="宋体" w:eastAsia="仿宋_GB2312" w:cs="Calibri"/>
        </w:rPr>
      </w:pPr>
      <w:r>
        <w:rPr>
          <w:rFonts w:hint="eastAsia" w:ascii="仿宋_GB2312" w:hAnsi="宋体" w:eastAsia="仿宋_GB2312" w:cs="Calibri"/>
        </w:rPr>
        <w:t>（9）</w:t>
      </w:r>
      <w:r>
        <w:rPr>
          <w:rFonts w:hint="eastAsia" w:ascii="仿宋_GB2312" w:hAnsi="宋体" w:eastAsia="仿宋_GB2312" w:cs="Calibri"/>
        </w:rPr>
        <w:tab/>
      </w:r>
      <w:r>
        <w:rPr>
          <w:rFonts w:hint="eastAsia" w:ascii="仿宋_GB2312" w:hAnsi="宋体" w:eastAsia="仿宋_GB2312" w:cs="Calibri"/>
        </w:rPr>
        <w:t>如管护单位在执行同一任务时，连续派单3次未及时响应的，甲方有权终止合同。</w:t>
      </w:r>
    </w:p>
    <w:p w14:paraId="1CEBA4BC">
      <w:pPr>
        <w:ind w:firstLine="560" w:firstLineChars="200"/>
        <w:rPr>
          <w:rFonts w:hint="eastAsia" w:ascii="仿宋_GB2312" w:hAnsi="宋体" w:eastAsia="仿宋_GB2312" w:cs="Calibri"/>
        </w:rPr>
      </w:pPr>
      <w:r>
        <w:rPr>
          <w:rFonts w:hint="eastAsia" w:ascii="仿宋_GB2312" w:hAnsi="宋体" w:eastAsia="仿宋_GB2312" w:cs="Calibri"/>
        </w:rPr>
        <w:t>（10）</w:t>
      </w:r>
      <w:r>
        <w:rPr>
          <w:rFonts w:hint="eastAsia" w:ascii="仿宋_GB2312" w:hAnsi="宋体" w:eastAsia="仿宋_GB2312" w:cs="Calibri"/>
        </w:rPr>
        <w:tab/>
      </w:r>
      <w:r>
        <w:rPr>
          <w:rFonts w:hint="eastAsia" w:ascii="仿宋_GB2312" w:hAnsi="宋体" w:eastAsia="仿宋_GB2312" w:cs="Calibri"/>
        </w:rPr>
        <w:t>合同期内，若发现管护单位存在拖欠工人工资的现象，经甲方核实后，即可视为管护单位违约，甲方有权单方面解除合同并没收所有履约保证金。本项目资金来源为财政资金，相关付款程序严格遵守托里县政府财政资金支付程序规定，如因财政审核支付流程导致付款延误的除外。</w:t>
      </w:r>
    </w:p>
    <w:p w14:paraId="7AFC6A05">
      <w:pPr>
        <w:ind w:firstLine="560" w:firstLineChars="200"/>
        <w:rPr>
          <w:rFonts w:hint="eastAsia" w:ascii="仿宋_GB2312" w:hAnsi="宋体" w:eastAsia="仿宋_GB2312" w:cs="Calibri"/>
        </w:rPr>
      </w:pPr>
      <w:r>
        <w:rPr>
          <w:rFonts w:hint="eastAsia" w:ascii="仿宋_GB2312" w:hAnsi="宋体" w:eastAsia="仿宋_GB2312" w:cs="Calibri"/>
        </w:rPr>
        <w:t>（11）</w:t>
      </w:r>
      <w:r>
        <w:rPr>
          <w:rFonts w:hint="eastAsia" w:ascii="仿宋_GB2312" w:hAnsi="宋体" w:eastAsia="仿宋_GB2312" w:cs="Calibri"/>
        </w:rPr>
        <w:tab/>
      </w:r>
      <w:r>
        <w:rPr>
          <w:rFonts w:hint="eastAsia" w:ascii="仿宋_GB2312" w:hAnsi="宋体" w:eastAsia="仿宋_GB2312" w:cs="Calibri"/>
        </w:rPr>
        <w:t>项目进行中发现管护单位人员能力不能履行职务，当甲方提出换人时，管护单位将及时配合更换。</w:t>
      </w:r>
    </w:p>
    <w:p w14:paraId="221947C1">
      <w:pPr>
        <w:spacing w:line="336" w:lineRule="auto"/>
        <w:ind w:firstLine="560" w:firstLineChars="200"/>
        <w:rPr>
          <w:rFonts w:hint="eastAsia" w:ascii="仿宋_GB2312" w:hAnsi="宋体" w:eastAsia="仿宋_GB2312" w:cs="Calibri"/>
        </w:rPr>
      </w:pPr>
      <w:r>
        <w:rPr>
          <w:rFonts w:hint="eastAsia" w:ascii="仿宋_GB2312" w:hAnsi="宋体" w:eastAsia="仿宋_GB2312" w:cs="Calibri"/>
        </w:rPr>
        <w:t>（12）</w:t>
      </w:r>
      <w:r>
        <w:rPr>
          <w:rFonts w:hint="eastAsia" w:ascii="仿宋_GB2312" w:hAnsi="宋体" w:eastAsia="仿宋_GB2312" w:cs="Calibri"/>
        </w:rPr>
        <w:tab/>
      </w:r>
      <w:r>
        <w:rPr>
          <w:rFonts w:hint="eastAsia" w:ascii="仿宋_GB2312" w:hAnsi="宋体" w:eastAsia="仿宋_GB2312" w:cs="Calibri"/>
        </w:rPr>
        <w:t>管护单位每日安排专人进行巡查，发现问题要及时记录和报告甲方。日常维护工作避免在日间和交通繁忙时间进行，占道施工时间一般应安排在晚上9：00时至凌晨5：00时，施工前管护单位应根据实际情况安排好当天晚上的维修工作量，当晚的工作量应当晚完成，不能遗留作业面，如遇特殊情况，需延长（迟）维修时间的，管护单位可报请甲方批准；所有市政设施因各种原因被损坏或被盗的，一般在12小时内修复，涉及抢险（修）等情况的，在1小时内到达现场排除险情。如遇抢险（修）等情况需在白天施工的，在不影响行车的前提下，施工前管护单位应做好施工围蔽工作，方可进行。施工后采取相应措施尽快恢复通车。</w:t>
      </w:r>
    </w:p>
    <w:p w14:paraId="2E933A2D">
      <w:pPr>
        <w:pStyle w:val="2"/>
      </w:pPr>
      <w:bookmarkStart w:id="56" w:name="_Toc1194"/>
      <w:r>
        <w:rPr>
          <w:rFonts w:hint="eastAsia"/>
        </w:rPr>
        <w:t>十</w:t>
      </w:r>
      <w:r>
        <w:rPr>
          <w:rFonts w:hint="eastAsia"/>
          <w:lang w:val="en-US" w:eastAsia="zh-CN"/>
        </w:rPr>
        <w:t>一</w:t>
      </w:r>
      <w:r>
        <w:rPr>
          <w:rFonts w:hint="eastAsia"/>
        </w:rPr>
        <w:t>、考核及退出机制</w:t>
      </w:r>
      <w:bookmarkEnd w:id="56"/>
    </w:p>
    <w:p w14:paraId="250D8C68">
      <w:pPr>
        <w:pStyle w:val="3"/>
        <w:ind w:firstLine="321"/>
      </w:pPr>
      <w:bookmarkStart w:id="57" w:name="_Toc19401"/>
      <w:r>
        <w:rPr>
          <w:rFonts w:hint="eastAsia"/>
        </w:rPr>
        <w:t>（一）考核</w:t>
      </w:r>
      <w:bookmarkEnd w:id="57"/>
    </w:p>
    <w:p w14:paraId="5850742F">
      <w:pPr>
        <w:pStyle w:val="5"/>
        <w:ind w:firstLine="560"/>
        <w:rPr>
          <w:rFonts w:hint="eastAsia" w:ascii="仿宋_GB2312"/>
        </w:rPr>
      </w:pPr>
      <w:r>
        <w:rPr>
          <w:rFonts w:hint="eastAsia" w:ascii="仿宋_GB2312"/>
        </w:rPr>
        <w:t>1、制订《托里县环境卫生管理考评内容及评分细则》、《托里县公园广场服务外包经济考核细则》、《托里县城市园林绿化管护考核细则》、《托里县城市路灯设施维护服务考核表》（详见附件2、3），并纳入本项目服务合同内容。按照作业质量标准和作业要求，对运营企业作业规范执行情况及作业质量进行指导、督促、检查、考核。</w:t>
      </w:r>
    </w:p>
    <w:p w14:paraId="5AC9683B">
      <w:pPr>
        <w:pStyle w:val="5"/>
        <w:ind w:firstLine="560"/>
        <w:rPr>
          <w:rFonts w:hint="eastAsia" w:ascii="仿宋_GB2312"/>
        </w:rPr>
      </w:pPr>
      <w:r>
        <w:rPr>
          <w:rFonts w:hint="eastAsia" w:ascii="仿宋_GB2312"/>
        </w:rPr>
        <w:t>2、考核由托里县住房和城乡建设局组织相关部门成立的考核小组实施，也可根据项目实施情况委托第三方机构实施。</w:t>
      </w:r>
    </w:p>
    <w:p w14:paraId="1E2E3EC9">
      <w:pPr>
        <w:pStyle w:val="5"/>
        <w:ind w:firstLine="560"/>
        <w:rPr>
          <w:rFonts w:hint="eastAsia" w:ascii="仿宋_GB2312"/>
        </w:rPr>
      </w:pPr>
      <w:r>
        <w:rPr>
          <w:rFonts w:hint="eastAsia" w:ascii="仿宋_GB2312"/>
        </w:rPr>
        <w:t>3、本项目按照“日常考核和按月统计”的办法实施，考核采用倒扣分制（以100分为基数），月考核结果与实际支付环卫服务费用进行挂钩。</w:t>
      </w:r>
    </w:p>
    <w:tbl>
      <w:tblPr>
        <w:tblStyle w:val="31"/>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1843"/>
        <w:gridCol w:w="1276"/>
        <w:gridCol w:w="3953"/>
        <w:gridCol w:w="736"/>
      </w:tblGrid>
      <w:tr w14:paraId="04A4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562" w:type="dxa"/>
            <w:vAlign w:val="center"/>
          </w:tcPr>
          <w:p w14:paraId="2284BBF4">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序号</w:t>
            </w:r>
          </w:p>
        </w:tc>
        <w:tc>
          <w:tcPr>
            <w:tcW w:w="1843" w:type="dxa"/>
            <w:vAlign w:val="center"/>
          </w:tcPr>
          <w:p w14:paraId="2F5D748D">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分值划分</w:t>
            </w:r>
          </w:p>
        </w:tc>
        <w:tc>
          <w:tcPr>
            <w:tcW w:w="1276" w:type="dxa"/>
            <w:vAlign w:val="center"/>
          </w:tcPr>
          <w:p w14:paraId="587C485B">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评定结果</w:t>
            </w:r>
          </w:p>
        </w:tc>
        <w:tc>
          <w:tcPr>
            <w:tcW w:w="3953" w:type="dxa"/>
            <w:vAlign w:val="center"/>
          </w:tcPr>
          <w:p w14:paraId="14C44C10">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结果应用</w:t>
            </w:r>
          </w:p>
        </w:tc>
        <w:tc>
          <w:tcPr>
            <w:tcW w:w="736" w:type="dxa"/>
            <w:vAlign w:val="center"/>
          </w:tcPr>
          <w:p w14:paraId="5E4A2023">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备注</w:t>
            </w:r>
          </w:p>
        </w:tc>
      </w:tr>
      <w:tr w14:paraId="72DC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562" w:type="dxa"/>
            <w:vAlign w:val="center"/>
          </w:tcPr>
          <w:p w14:paraId="03032557">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b/>
                <w:bCs/>
                <w:sz w:val="24"/>
                <w:lang w:eastAsia="en-US"/>
              </w:rPr>
            </w:pPr>
          </w:p>
        </w:tc>
        <w:tc>
          <w:tcPr>
            <w:tcW w:w="1843" w:type="dxa"/>
            <w:vAlign w:val="center"/>
          </w:tcPr>
          <w:p w14:paraId="3400380D">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≥90</w:t>
            </w:r>
            <w:r>
              <w:rPr>
                <w:rFonts w:hint="eastAsia" w:ascii="仿宋_GB2312" w:hAnsi="宋体" w:eastAsia="仿宋_GB2312" w:cs="宋体"/>
                <w:sz w:val="24"/>
                <w:lang w:eastAsia="en-US"/>
              </w:rPr>
              <w:t>分</w:t>
            </w:r>
          </w:p>
        </w:tc>
        <w:tc>
          <w:tcPr>
            <w:tcW w:w="1276" w:type="dxa"/>
            <w:vAlign w:val="center"/>
          </w:tcPr>
          <w:p w14:paraId="3D3A3FB4">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优秀</w:t>
            </w:r>
          </w:p>
        </w:tc>
        <w:tc>
          <w:tcPr>
            <w:tcW w:w="3953" w:type="dxa"/>
          </w:tcPr>
          <w:p w14:paraId="3F1A0FEB">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lang w:eastAsia="en-US"/>
              </w:rPr>
              <w:t>全额拨付费用</w:t>
            </w:r>
          </w:p>
        </w:tc>
        <w:tc>
          <w:tcPr>
            <w:tcW w:w="736" w:type="dxa"/>
            <w:vAlign w:val="center"/>
          </w:tcPr>
          <w:p w14:paraId="090582C7">
            <w:pPr>
              <w:autoSpaceDE w:val="0"/>
              <w:autoSpaceDN w:val="0"/>
              <w:spacing w:line="240" w:lineRule="auto"/>
              <w:jc w:val="center"/>
              <w:rPr>
                <w:rFonts w:hint="eastAsia" w:ascii="仿宋_GB2312" w:hAnsi="宋体" w:eastAsia="仿宋_GB2312" w:cs="宋体"/>
                <w:b/>
                <w:bCs/>
                <w:sz w:val="24"/>
                <w:lang w:eastAsia="en-US"/>
              </w:rPr>
            </w:pPr>
          </w:p>
        </w:tc>
      </w:tr>
      <w:tr w14:paraId="3282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2" w:type="dxa"/>
            <w:vAlign w:val="center"/>
          </w:tcPr>
          <w:p w14:paraId="72793C17">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lang w:eastAsia="en-US"/>
              </w:rPr>
            </w:pPr>
          </w:p>
        </w:tc>
        <w:tc>
          <w:tcPr>
            <w:tcW w:w="1843" w:type="dxa"/>
            <w:vAlign w:val="center"/>
          </w:tcPr>
          <w:p w14:paraId="108CD3AE">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lang w:eastAsia="en-US"/>
              </w:rPr>
              <w:t>8</w:t>
            </w:r>
            <w:r>
              <w:rPr>
                <w:rFonts w:hint="eastAsia" w:ascii="仿宋_GB2312" w:hAnsi="宋体" w:eastAsia="仿宋_GB2312" w:cs="宋体"/>
                <w:sz w:val="24"/>
              </w:rPr>
              <w:t>9</w:t>
            </w:r>
            <w:r>
              <w:rPr>
                <w:rFonts w:hint="eastAsia" w:ascii="仿宋_GB2312" w:hAnsi="宋体" w:eastAsia="仿宋_GB2312" w:cs="宋体"/>
                <w:sz w:val="24"/>
                <w:lang w:eastAsia="en-US"/>
              </w:rPr>
              <w:t>~</w:t>
            </w:r>
            <w:r>
              <w:rPr>
                <w:rFonts w:hint="eastAsia" w:ascii="仿宋_GB2312" w:hAnsi="宋体" w:eastAsia="仿宋_GB2312" w:cs="宋体"/>
                <w:sz w:val="24"/>
              </w:rPr>
              <w:t>80</w:t>
            </w:r>
            <w:r>
              <w:rPr>
                <w:rFonts w:hint="eastAsia" w:ascii="仿宋_GB2312" w:hAnsi="宋体" w:eastAsia="仿宋_GB2312" w:cs="宋体"/>
                <w:sz w:val="24"/>
                <w:lang w:eastAsia="en-US"/>
              </w:rPr>
              <w:t>(含</w:t>
            </w:r>
            <w:r>
              <w:rPr>
                <w:rFonts w:hint="eastAsia" w:ascii="仿宋_GB2312" w:hAnsi="宋体" w:eastAsia="仿宋_GB2312" w:cs="宋体"/>
                <w:sz w:val="24"/>
              </w:rPr>
              <w:t>80</w:t>
            </w:r>
            <w:r>
              <w:rPr>
                <w:rFonts w:hint="eastAsia" w:ascii="仿宋_GB2312" w:hAnsi="宋体" w:eastAsia="仿宋_GB2312" w:cs="宋体"/>
                <w:sz w:val="24"/>
                <w:lang w:eastAsia="en-US"/>
              </w:rPr>
              <w:t>)</w:t>
            </w:r>
          </w:p>
        </w:tc>
        <w:tc>
          <w:tcPr>
            <w:tcW w:w="1276" w:type="dxa"/>
            <w:vAlign w:val="center"/>
          </w:tcPr>
          <w:p w14:paraId="643F043B">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合格</w:t>
            </w:r>
          </w:p>
        </w:tc>
        <w:tc>
          <w:tcPr>
            <w:tcW w:w="3953" w:type="dxa"/>
          </w:tcPr>
          <w:p w14:paraId="2C9BACC7">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每扣1分扣除费用1000元计算</w:t>
            </w:r>
          </w:p>
        </w:tc>
        <w:tc>
          <w:tcPr>
            <w:tcW w:w="736" w:type="dxa"/>
            <w:vMerge w:val="restart"/>
          </w:tcPr>
          <w:p w14:paraId="1231D844">
            <w:pPr>
              <w:pStyle w:val="69"/>
              <w:ind w:left="480" w:hanging="480"/>
              <w:rPr>
                <w:rFonts w:ascii="仿宋_GB2312" w:eastAsia="仿宋_GB2312"/>
                <w:sz w:val="24"/>
                <w:szCs w:val="24"/>
                <w:lang w:eastAsia="zh-CN"/>
              </w:rPr>
            </w:pPr>
          </w:p>
        </w:tc>
      </w:tr>
      <w:tr w14:paraId="41A6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562" w:type="dxa"/>
            <w:vAlign w:val="center"/>
          </w:tcPr>
          <w:p w14:paraId="5C7F7A1F">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843" w:type="dxa"/>
            <w:vAlign w:val="center"/>
          </w:tcPr>
          <w:p w14:paraId="7113285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79</w:t>
            </w:r>
            <w:r>
              <w:rPr>
                <w:rFonts w:hint="eastAsia" w:ascii="仿宋_GB2312" w:hAnsi="宋体" w:eastAsia="仿宋_GB2312" w:cs="宋体"/>
                <w:sz w:val="24"/>
                <w:lang w:eastAsia="en-US"/>
              </w:rPr>
              <w:t>~7</w:t>
            </w:r>
            <w:r>
              <w:rPr>
                <w:rFonts w:hint="eastAsia" w:ascii="仿宋_GB2312" w:hAnsi="宋体" w:eastAsia="仿宋_GB2312" w:cs="宋体"/>
                <w:sz w:val="24"/>
              </w:rPr>
              <w:t>0</w:t>
            </w:r>
            <w:r>
              <w:rPr>
                <w:rFonts w:hint="eastAsia" w:ascii="仿宋_GB2312" w:hAnsi="宋体" w:eastAsia="仿宋_GB2312" w:cs="宋体"/>
                <w:sz w:val="24"/>
                <w:lang w:eastAsia="en-US"/>
              </w:rPr>
              <w:t>(含</w:t>
            </w:r>
            <w:r>
              <w:rPr>
                <w:rFonts w:hint="eastAsia" w:ascii="仿宋_GB2312" w:hAnsi="宋体" w:eastAsia="仿宋_GB2312" w:cs="宋体"/>
                <w:sz w:val="24"/>
              </w:rPr>
              <w:t>70</w:t>
            </w:r>
            <w:r>
              <w:rPr>
                <w:rFonts w:hint="eastAsia" w:ascii="仿宋_GB2312" w:hAnsi="宋体" w:eastAsia="仿宋_GB2312" w:cs="宋体"/>
                <w:sz w:val="24"/>
                <w:lang w:eastAsia="en-US"/>
              </w:rPr>
              <w:t>)</w:t>
            </w:r>
          </w:p>
        </w:tc>
        <w:tc>
          <w:tcPr>
            <w:tcW w:w="1276" w:type="dxa"/>
            <w:vAlign w:val="center"/>
          </w:tcPr>
          <w:p w14:paraId="39A5BB5E">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基本合格</w:t>
            </w:r>
          </w:p>
        </w:tc>
        <w:tc>
          <w:tcPr>
            <w:tcW w:w="3953" w:type="dxa"/>
          </w:tcPr>
          <w:p w14:paraId="4DC406CF">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每扣1分扣除费用5000元计算</w:t>
            </w:r>
          </w:p>
        </w:tc>
        <w:tc>
          <w:tcPr>
            <w:tcW w:w="736" w:type="dxa"/>
            <w:vMerge w:val="continue"/>
          </w:tcPr>
          <w:p w14:paraId="7F5544AF">
            <w:pPr>
              <w:pStyle w:val="69"/>
              <w:ind w:left="480" w:hanging="480"/>
              <w:rPr>
                <w:rFonts w:ascii="仿宋_GB2312" w:eastAsia="仿宋_GB2312"/>
                <w:sz w:val="24"/>
                <w:szCs w:val="24"/>
                <w:lang w:eastAsia="zh-CN"/>
              </w:rPr>
            </w:pPr>
          </w:p>
        </w:tc>
      </w:tr>
      <w:tr w14:paraId="608D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562" w:type="dxa"/>
            <w:vAlign w:val="center"/>
          </w:tcPr>
          <w:p w14:paraId="10E2695E">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843" w:type="dxa"/>
            <w:vAlign w:val="center"/>
          </w:tcPr>
          <w:p w14:paraId="4691C89A">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69</w:t>
            </w:r>
            <w:r>
              <w:rPr>
                <w:rFonts w:hint="eastAsia" w:ascii="仿宋_GB2312" w:hAnsi="宋体" w:eastAsia="仿宋_GB2312" w:cs="宋体"/>
                <w:sz w:val="24"/>
                <w:lang w:eastAsia="en-US"/>
              </w:rPr>
              <w:t>-</w:t>
            </w:r>
            <w:r>
              <w:rPr>
                <w:rFonts w:hint="eastAsia" w:ascii="仿宋_GB2312" w:hAnsi="宋体" w:eastAsia="仿宋_GB2312" w:cs="宋体"/>
                <w:sz w:val="24"/>
              </w:rPr>
              <w:t>60</w:t>
            </w:r>
            <w:r>
              <w:rPr>
                <w:rFonts w:hint="eastAsia" w:ascii="仿宋_GB2312" w:hAnsi="宋体" w:eastAsia="仿宋_GB2312" w:cs="宋体"/>
                <w:sz w:val="24"/>
                <w:lang w:eastAsia="en-US"/>
              </w:rPr>
              <w:t>(含</w:t>
            </w:r>
            <w:r>
              <w:rPr>
                <w:rFonts w:hint="eastAsia" w:ascii="仿宋_GB2312" w:hAnsi="宋体" w:eastAsia="仿宋_GB2312" w:cs="宋体"/>
                <w:sz w:val="24"/>
              </w:rPr>
              <w:t>6</w:t>
            </w:r>
            <w:r>
              <w:rPr>
                <w:rFonts w:hint="eastAsia" w:ascii="仿宋_GB2312" w:hAnsi="宋体" w:eastAsia="仿宋_GB2312" w:cs="宋体"/>
                <w:sz w:val="24"/>
                <w:lang w:eastAsia="en-US"/>
              </w:rPr>
              <w:t>0)</w:t>
            </w:r>
          </w:p>
        </w:tc>
        <w:tc>
          <w:tcPr>
            <w:tcW w:w="1276" w:type="dxa"/>
            <w:vAlign w:val="center"/>
          </w:tcPr>
          <w:p w14:paraId="49642D27">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不合格</w:t>
            </w:r>
          </w:p>
        </w:tc>
        <w:tc>
          <w:tcPr>
            <w:tcW w:w="3953" w:type="dxa"/>
          </w:tcPr>
          <w:p w14:paraId="1EAA3418">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每扣1分扣除费用10000元计算</w:t>
            </w:r>
          </w:p>
        </w:tc>
        <w:tc>
          <w:tcPr>
            <w:tcW w:w="736" w:type="dxa"/>
            <w:vMerge w:val="continue"/>
          </w:tcPr>
          <w:p w14:paraId="636E95D6">
            <w:pPr>
              <w:pStyle w:val="69"/>
              <w:ind w:left="480" w:hanging="480"/>
              <w:rPr>
                <w:rFonts w:ascii="仿宋_GB2312" w:eastAsia="仿宋_GB2312"/>
                <w:sz w:val="24"/>
                <w:szCs w:val="24"/>
                <w:lang w:eastAsia="zh-CN"/>
              </w:rPr>
            </w:pPr>
          </w:p>
        </w:tc>
      </w:tr>
      <w:tr w14:paraId="39A2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jc w:val="center"/>
        </w:trPr>
        <w:tc>
          <w:tcPr>
            <w:tcW w:w="562" w:type="dxa"/>
            <w:vAlign w:val="center"/>
          </w:tcPr>
          <w:p w14:paraId="7497A2EE">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843" w:type="dxa"/>
            <w:vAlign w:val="center"/>
          </w:tcPr>
          <w:p w14:paraId="3F1BDF3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w:t>
            </w:r>
            <w:r>
              <w:rPr>
                <w:rFonts w:hint="eastAsia" w:ascii="仿宋_GB2312" w:hAnsi="宋体" w:eastAsia="仿宋_GB2312" w:cs="宋体"/>
                <w:sz w:val="24"/>
                <w:lang w:eastAsia="en-US"/>
              </w:rPr>
              <w:t>0以下</w:t>
            </w:r>
          </w:p>
        </w:tc>
        <w:tc>
          <w:tcPr>
            <w:tcW w:w="1276" w:type="dxa"/>
            <w:vAlign w:val="center"/>
          </w:tcPr>
          <w:p w14:paraId="3BA98ED3">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差</w:t>
            </w:r>
          </w:p>
        </w:tc>
        <w:tc>
          <w:tcPr>
            <w:tcW w:w="3953" w:type="dxa"/>
          </w:tcPr>
          <w:p w14:paraId="48476740">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给予运营企业</w:t>
            </w:r>
            <w:r>
              <w:rPr>
                <w:rFonts w:hint="eastAsia" w:ascii="仿宋_GB2312" w:hAnsi="宋体" w:eastAsia="仿宋_GB2312" w:cs="宋体"/>
                <w:sz w:val="24"/>
                <w:lang w:eastAsia="zh-CN"/>
              </w:rPr>
              <w:t>书面限期整改通知</w:t>
            </w:r>
            <w:r>
              <w:rPr>
                <w:rFonts w:hint="eastAsia" w:ascii="仿宋_GB2312" w:hAnsi="宋体" w:eastAsia="仿宋_GB2312" w:cs="宋体"/>
                <w:sz w:val="24"/>
              </w:rPr>
              <w:t>，督促乙方于15日内进行整改，如到期后仍未合格，甲方可不予拨付服务费，并扣除当期服务费及履约保证金，且</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c>
          <w:tcPr>
            <w:tcW w:w="736" w:type="dxa"/>
          </w:tcPr>
          <w:p w14:paraId="5B81B051">
            <w:pPr>
              <w:pStyle w:val="69"/>
              <w:ind w:left="480" w:hanging="480"/>
              <w:rPr>
                <w:rFonts w:ascii="仿宋_GB2312" w:eastAsia="仿宋_GB2312"/>
                <w:sz w:val="24"/>
                <w:szCs w:val="24"/>
                <w:lang w:eastAsia="zh-CN"/>
              </w:rPr>
            </w:pPr>
          </w:p>
        </w:tc>
      </w:tr>
      <w:tr w14:paraId="0A10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562" w:type="dxa"/>
            <w:vAlign w:val="center"/>
          </w:tcPr>
          <w:p w14:paraId="71ACA6CA">
            <w:pPr>
              <w:pStyle w:val="46"/>
              <w:numPr>
                <w:ilvl w:val="0"/>
                <w:numId w:val="7"/>
              </w:numPr>
              <w:spacing w:line="240" w:lineRule="auto"/>
              <w:ind w:left="0" w:firstLine="0" w:firstLineChars="0"/>
              <w:jc w:val="center"/>
              <w:rPr>
                <w:rFonts w:ascii="仿宋_GB2312" w:eastAsia="仿宋_GB2312"/>
                <w:sz w:val="24"/>
              </w:rPr>
            </w:pPr>
          </w:p>
        </w:tc>
        <w:tc>
          <w:tcPr>
            <w:tcW w:w="7808" w:type="dxa"/>
            <w:gridSpan w:val="4"/>
            <w:vAlign w:val="center"/>
          </w:tcPr>
          <w:p w14:paraId="17838E79">
            <w:pPr>
              <w:spacing w:line="240" w:lineRule="auto"/>
              <w:rPr>
                <w:rFonts w:ascii="仿宋_GB2312" w:eastAsia="仿宋_GB2312"/>
                <w:sz w:val="24"/>
              </w:rPr>
            </w:pPr>
            <w:r>
              <w:rPr>
                <w:rFonts w:hint="eastAsia" w:ascii="仿宋_GB2312" w:hAnsi="宋体" w:eastAsia="仿宋_GB2312" w:cs="宋体"/>
                <w:sz w:val="24"/>
              </w:rPr>
              <w:t>当乙方连续3个月考评得分低于69分(不含)时，</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r>
    </w:tbl>
    <w:p w14:paraId="0F225FC7">
      <w:pPr>
        <w:pStyle w:val="5"/>
        <w:ind w:firstLine="560"/>
        <w:rPr>
          <w:rFonts w:hint="eastAsia" w:ascii="仿宋_GB2312"/>
        </w:rPr>
      </w:pPr>
      <w:r>
        <w:rPr>
          <w:rFonts w:hint="eastAsia" w:ascii="仿宋_GB2312"/>
        </w:rPr>
        <w:t>4、合同协议签订后，初期试运行三个月为过渡期，考核不扣款。</w:t>
      </w:r>
    </w:p>
    <w:p w14:paraId="1120971D">
      <w:pPr>
        <w:pStyle w:val="5"/>
        <w:ind w:firstLine="560"/>
        <w:rPr>
          <w:rFonts w:hint="eastAsia" w:ascii="仿宋_GB2312"/>
        </w:rPr>
      </w:pPr>
      <w:r>
        <w:rPr>
          <w:rFonts w:hint="eastAsia" w:ascii="仿宋_GB2312"/>
        </w:rPr>
        <w:t>5、一个完整年度累计三个月考核不合格或服务期间连续三个月考核不合格的，服务企业</w:t>
      </w:r>
      <w:r>
        <w:rPr>
          <w:rFonts w:hint="eastAsia" w:ascii="仿宋_GB2312"/>
          <w:lang w:eastAsia="zh-CN"/>
        </w:rPr>
        <w:t>按照合同约定的交接程序有序退出</w:t>
      </w:r>
      <w:r>
        <w:rPr>
          <w:rFonts w:hint="eastAsia" w:ascii="仿宋_GB2312"/>
        </w:rPr>
        <w:t>。</w:t>
      </w:r>
    </w:p>
    <w:p w14:paraId="716D36B2">
      <w:pPr>
        <w:pStyle w:val="3"/>
        <w:ind w:firstLine="321"/>
      </w:pPr>
      <w:bookmarkStart w:id="58" w:name="_Toc17941"/>
      <w:r>
        <w:rPr>
          <w:rFonts w:hint="eastAsia"/>
        </w:rPr>
        <w:t>（二）退出机制</w:t>
      </w:r>
      <w:bookmarkEnd w:id="58"/>
    </w:p>
    <w:p w14:paraId="32DD3EA1">
      <w:pPr>
        <w:pStyle w:val="5"/>
        <w:ind w:firstLine="560"/>
        <w:rPr>
          <w:rFonts w:hint="eastAsia" w:ascii="仿宋_GB2312"/>
        </w:rPr>
      </w:pPr>
      <w:r>
        <w:rPr>
          <w:rFonts w:hint="eastAsia" w:ascii="仿宋_GB2312"/>
        </w:rPr>
        <w:t>合同协议签订后，初期试运行三个月，其中前三个月考核不扣款，并自行承担因此造成的损失。服务期考核当月不合格的，按合同协议约定扣款，一个完整年度累计三个月考核不合格或服务期间连续三个月考核不合格的，服务企业按合同协议退出，并自行承担因此造成的损失。退出机制的其他规定在合同协议中明确。</w:t>
      </w:r>
      <w:bookmarkStart w:id="59" w:name="OLE_LINK10"/>
    </w:p>
    <w:p w14:paraId="2DD67953">
      <w:pPr>
        <w:pStyle w:val="5"/>
        <w:ind w:firstLine="560"/>
        <w:rPr>
          <w:rFonts w:hint="eastAsia" w:ascii="仿宋_GB2312"/>
        </w:rPr>
      </w:pPr>
      <w:r>
        <w:rPr>
          <w:rFonts w:hint="eastAsia" w:ascii="仿宋_GB2312"/>
        </w:rPr>
        <w:t>政府方违约补偿：因甲方（政府方）原因导致合同无法继续履行或提前终止的，包括但不限于：</w:t>
      </w:r>
    </w:p>
    <w:p w14:paraId="37BE1FE8">
      <w:pPr>
        <w:pStyle w:val="5"/>
        <w:ind w:firstLine="560"/>
        <w:rPr>
          <w:rFonts w:hint="eastAsia" w:ascii="仿宋_GB2312"/>
        </w:rPr>
      </w:pPr>
      <w:r>
        <w:rPr>
          <w:rFonts w:hint="eastAsia" w:ascii="仿宋_GB2312"/>
        </w:rPr>
        <w:t>（a）未按合同约定按时足额支付服务费用；</w:t>
      </w:r>
    </w:p>
    <w:p w14:paraId="410E1294">
      <w:pPr>
        <w:pStyle w:val="5"/>
        <w:ind w:firstLine="560"/>
        <w:rPr>
          <w:rFonts w:hint="eastAsia" w:ascii="仿宋_GB2312"/>
        </w:rPr>
      </w:pPr>
      <w:r>
        <w:rPr>
          <w:rFonts w:hint="eastAsia" w:ascii="仿宋_GB2312"/>
        </w:rPr>
        <w:t>（b）单方缩减服务范围或降低服务标准；</w:t>
      </w:r>
    </w:p>
    <w:p w14:paraId="7330B300">
      <w:pPr>
        <w:pStyle w:val="5"/>
        <w:ind w:firstLine="560"/>
        <w:rPr>
          <w:rFonts w:hint="eastAsia" w:ascii="仿宋_GB2312"/>
        </w:rPr>
      </w:pPr>
      <w:r>
        <w:rPr>
          <w:rFonts w:hint="eastAsia" w:ascii="仿宋_GB2312"/>
        </w:rPr>
        <w:t>（c）因财政预算重大调整或城市规划变更导致合同基础条件发生根本变化；</w:t>
      </w:r>
    </w:p>
    <w:p w14:paraId="7FC5A765">
      <w:pPr>
        <w:pStyle w:val="5"/>
        <w:ind w:firstLine="560"/>
        <w:rPr>
          <w:rFonts w:hint="eastAsia" w:ascii="仿宋_GB2312"/>
        </w:rPr>
      </w:pPr>
      <w:r>
        <w:rPr>
          <w:rFonts w:hint="eastAsia" w:ascii="仿宋_GB2312"/>
        </w:rPr>
        <w:t>（d）无正当理由单方解除合同。</w:t>
      </w:r>
    </w:p>
    <w:p w14:paraId="140D15EC">
      <w:pPr>
        <w:pStyle w:val="5"/>
        <w:ind w:firstLine="560"/>
        <w:rPr>
          <w:rFonts w:hint="eastAsia" w:ascii="仿宋_GB2312"/>
        </w:rPr>
      </w:pPr>
      <w:r>
        <w:rPr>
          <w:rFonts w:hint="eastAsia" w:ascii="仿宋_GB2312"/>
        </w:rPr>
        <w:t>甲方应提前不少于六十日书面通知乙方，并按实际服务量据实结算服务费用。同时，参照《中华人民共和国民法典》第五百八十四条的规定，对乙方因此遭受的直接损失（包括但不限于人员遣散补偿费用、已投入但尚未摊销完毕的车辆设备投入、合理的预期利润损失等）依法予以合理补偿。具体补偿标准、计算方式及支付期限在合同协议中详细约定。</w:t>
      </w:r>
    </w:p>
    <w:p w14:paraId="532BB8F4">
      <w:pPr>
        <w:pStyle w:val="5"/>
        <w:ind w:firstLine="560"/>
        <w:rPr>
          <w:rFonts w:hint="eastAsia" w:ascii="仿宋_GB2312"/>
        </w:rPr>
      </w:pPr>
      <w:r>
        <w:rPr>
          <w:rFonts w:hint="eastAsia" w:ascii="仿宋_GB2312"/>
        </w:rPr>
        <w:t>不可抗力（包括自然灾害、战争、法律法规重大变更等）导致合同无法履行的，双方互不承担违约责任，但应按实际服务量结算费用，并协作做好资产交接和人员安置工作。</w:t>
      </w:r>
    </w:p>
    <w:p w14:paraId="612D471C">
      <w:pPr>
        <w:pStyle w:val="2"/>
      </w:pPr>
      <w:bookmarkStart w:id="60" w:name="_Toc29541"/>
      <w:r>
        <w:rPr>
          <w:rFonts w:hint="eastAsia"/>
        </w:rPr>
        <w:t>十</w:t>
      </w:r>
      <w:r>
        <w:rPr>
          <w:rFonts w:hint="eastAsia"/>
          <w:lang w:val="en-US" w:eastAsia="zh-CN"/>
        </w:rPr>
        <w:t>二</w:t>
      </w:r>
      <w:r>
        <w:rPr>
          <w:rFonts w:hint="eastAsia"/>
        </w:rPr>
        <w:t>、项目实施预计效果</w:t>
      </w:r>
      <w:bookmarkEnd w:id="60"/>
    </w:p>
    <w:p w14:paraId="19FE6589">
      <w:pPr>
        <w:pStyle w:val="3"/>
        <w:ind w:firstLine="321"/>
      </w:pPr>
      <w:bookmarkStart w:id="61" w:name="_Toc13640"/>
      <w:r>
        <w:rPr>
          <w:rFonts w:hint="eastAsia"/>
        </w:rPr>
        <w:t>（一）提升服务质量和作业标准</w:t>
      </w:r>
      <w:bookmarkEnd w:id="61"/>
    </w:p>
    <w:p w14:paraId="394547F4">
      <w:pPr>
        <w:pStyle w:val="5"/>
        <w:ind w:firstLine="560"/>
        <w:rPr>
          <w:rFonts w:hint="eastAsia" w:ascii="仿宋_GB2312"/>
        </w:rPr>
      </w:pPr>
      <w:r>
        <w:rPr>
          <w:rFonts w:hint="eastAsia" w:ascii="仿宋_GB2312"/>
        </w:rPr>
        <w:t>通过市场化服务采购，使城市管理服务质量和标准得到明显改善和提升：</w:t>
      </w:r>
    </w:p>
    <w:p w14:paraId="14417967">
      <w:pPr>
        <w:pStyle w:val="5"/>
        <w:ind w:firstLine="560"/>
        <w:rPr>
          <w:rFonts w:hint="eastAsia" w:ascii="仿宋_GB2312"/>
        </w:rPr>
      </w:pPr>
      <w:r>
        <w:rPr>
          <w:rFonts w:hint="eastAsia" w:ascii="仿宋_GB2312"/>
        </w:rPr>
        <w:t>（1）主次干道、背街小巷、公园广场等清扫保洁范围全覆盖。</w:t>
      </w:r>
    </w:p>
    <w:p w14:paraId="6480A46C">
      <w:pPr>
        <w:pStyle w:val="5"/>
        <w:ind w:firstLine="560"/>
        <w:rPr>
          <w:rFonts w:hint="eastAsia" w:ascii="仿宋_GB2312"/>
        </w:rPr>
      </w:pPr>
      <w:r>
        <w:rPr>
          <w:rFonts w:hint="eastAsia" w:ascii="仿宋_GB2312"/>
        </w:rPr>
        <w:t>（2）垃圾收运日产日清，垃圾不落地。</w:t>
      </w:r>
    </w:p>
    <w:p w14:paraId="481FB82E">
      <w:pPr>
        <w:pStyle w:val="5"/>
        <w:ind w:firstLine="560"/>
        <w:rPr>
          <w:rFonts w:hint="eastAsia" w:ascii="仿宋_GB2312"/>
        </w:rPr>
      </w:pPr>
      <w:r>
        <w:rPr>
          <w:rFonts w:hint="eastAsia" w:ascii="仿宋_GB2312"/>
        </w:rPr>
        <w:t>（3）消除边角、死角及立面垃圾，解决最后“一点”垃圾。</w:t>
      </w:r>
    </w:p>
    <w:p w14:paraId="6B62D7AC">
      <w:pPr>
        <w:pStyle w:val="5"/>
        <w:ind w:firstLine="560"/>
        <w:rPr>
          <w:rFonts w:hint="eastAsia" w:ascii="仿宋_GB2312"/>
        </w:rPr>
      </w:pPr>
      <w:r>
        <w:rPr>
          <w:rFonts w:hint="eastAsia" w:ascii="仿宋_GB2312"/>
        </w:rPr>
        <w:t>（4）根据作业需求，加大道路冲洗和保洁频次，提高机械化设备作业覆盖率，机扫率达到90%以上，减少用工成本，进一步提升空气质量和城市环境卫生水平等。</w:t>
      </w:r>
    </w:p>
    <w:p w14:paraId="0F074DF1">
      <w:pPr>
        <w:pStyle w:val="5"/>
        <w:ind w:firstLine="560"/>
        <w:rPr>
          <w:rFonts w:hint="eastAsia" w:ascii="仿宋_GB2312"/>
        </w:rPr>
      </w:pPr>
      <w:r>
        <w:rPr>
          <w:rFonts w:hint="eastAsia" w:ascii="仿宋_GB2312"/>
        </w:rPr>
        <w:t>（5）强化路灯常态化巡查管护，保障亮灯率稳定达标。</w:t>
      </w:r>
    </w:p>
    <w:p w14:paraId="2D618EDD">
      <w:pPr>
        <w:pStyle w:val="5"/>
        <w:ind w:firstLine="560"/>
        <w:rPr>
          <w:rFonts w:hint="eastAsia" w:ascii="仿宋_GB2312"/>
        </w:rPr>
      </w:pPr>
      <w:r>
        <w:rPr>
          <w:rFonts w:hint="eastAsia" w:ascii="仿宋_GB2312"/>
        </w:rPr>
        <w:t>（6）立足托里地域气候特点，园林绿化精细化养护落实到位，绿地景观整洁美观、宜居效果显著。</w:t>
      </w:r>
    </w:p>
    <w:p w14:paraId="0C6A2E34">
      <w:pPr>
        <w:pStyle w:val="5"/>
        <w:ind w:firstLine="560"/>
        <w:rPr>
          <w:rFonts w:hint="eastAsia" w:ascii="仿宋_GB2312"/>
        </w:rPr>
      </w:pPr>
      <w:r>
        <w:rPr>
          <w:rFonts w:hint="eastAsia" w:ascii="仿宋_GB2312"/>
        </w:rPr>
        <w:t>（7）建立市政施设常态化巡查机制，不影响市民出行。</w:t>
      </w:r>
    </w:p>
    <w:p w14:paraId="35215333">
      <w:pPr>
        <w:pStyle w:val="5"/>
        <w:ind w:firstLine="560"/>
        <w:rPr>
          <w:rFonts w:hint="eastAsia" w:ascii="仿宋_GB2312"/>
        </w:rPr>
      </w:pPr>
      <w:r>
        <w:rPr>
          <w:rFonts w:hint="eastAsia" w:ascii="仿宋_GB2312"/>
        </w:rPr>
        <w:t>（8）绿色除雪、高效及时、雪中路通、雪后路畅。</w:t>
      </w:r>
    </w:p>
    <w:p w14:paraId="5E2B8E5E">
      <w:pPr>
        <w:pStyle w:val="3"/>
        <w:ind w:firstLine="321"/>
      </w:pPr>
      <w:bookmarkStart w:id="62" w:name="_Toc30427"/>
      <w:r>
        <w:rPr>
          <w:rFonts w:hint="eastAsia"/>
        </w:rPr>
        <w:t>（二）完善基础设施设备，加大投资建设</w:t>
      </w:r>
      <w:bookmarkEnd w:id="62"/>
    </w:p>
    <w:p w14:paraId="2F77F7DB">
      <w:pPr>
        <w:pStyle w:val="5"/>
        <w:ind w:firstLine="560"/>
        <w:rPr>
          <w:rFonts w:hint="eastAsia" w:ascii="仿宋_GB2312"/>
        </w:rPr>
      </w:pPr>
      <w:r>
        <w:rPr>
          <w:rFonts w:hint="eastAsia" w:ascii="仿宋_GB2312"/>
        </w:rPr>
        <w:t>结合项目实施范围、内容和目标，根据政府采购范围及需求，由企业自行投资，完善城市基础设施运维、更新或建设，如：</w:t>
      </w:r>
    </w:p>
    <w:p w14:paraId="25B95772">
      <w:pPr>
        <w:pStyle w:val="5"/>
        <w:ind w:firstLine="560"/>
        <w:rPr>
          <w:rFonts w:hint="eastAsia" w:ascii="仿宋_GB2312"/>
        </w:rPr>
      </w:pPr>
      <w:r>
        <w:rPr>
          <w:rFonts w:hint="eastAsia" w:ascii="仿宋_GB2312"/>
        </w:rPr>
        <w:t>（1）垃圾中转站改扩建及运维。</w:t>
      </w:r>
    </w:p>
    <w:p w14:paraId="4CCECB37">
      <w:pPr>
        <w:pStyle w:val="5"/>
        <w:ind w:firstLine="560"/>
        <w:rPr>
          <w:rFonts w:hint="eastAsia" w:ascii="仿宋_GB2312"/>
        </w:rPr>
      </w:pPr>
      <w:r>
        <w:rPr>
          <w:rFonts w:hint="eastAsia" w:ascii="仿宋_GB2312"/>
        </w:rPr>
        <w:t>（2）投入新能源专业设备，打造“绿色环卫”。</w:t>
      </w:r>
    </w:p>
    <w:p w14:paraId="1F9109B3">
      <w:pPr>
        <w:pStyle w:val="5"/>
        <w:ind w:firstLine="560"/>
        <w:rPr>
          <w:rFonts w:hint="eastAsia" w:ascii="仿宋_GB2312"/>
        </w:rPr>
      </w:pPr>
      <w:r>
        <w:rPr>
          <w:rFonts w:hint="eastAsia" w:ascii="仿宋_GB2312"/>
        </w:rPr>
        <w:t>（3）垃圾桶、果皮箱维护或更换。</w:t>
      </w:r>
    </w:p>
    <w:p w14:paraId="09B6A6C3">
      <w:pPr>
        <w:pStyle w:val="5"/>
        <w:ind w:firstLine="560"/>
        <w:rPr>
          <w:rFonts w:hint="eastAsia" w:ascii="仿宋_GB2312"/>
        </w:rPr>
      </w:pPr>
      <w:r>
        <w:rPr>
          <w:rFonts w:hint="eastAsia" w:ascii="仿宋_GB2312"/>
        </w:rPr>
        <w:t>（4）市政道路及基础设施维管或修复。</w:t>
      </w:r>
    </w:p>
    <w:p w14:paraId="7E33026E">
      <w:pPr>
        <w:pStyle w:val="5"/>
        <w:ind w:firstLine="560"/>
        <w:rPr>
          <w:rFonts w:hint="eastAsia" w:ascii="仿宋_GB2312"/>
        </w:rPr>
      </w:pPr>
      <w:r>
        <w:rPr>
          <w:rFonts w:hint="eastAsia" w:ascii="仿宋_GB2312"/>
        </w:rPr>
        <w:t>（5）设施设备优化、补充及新购。</w:t>
      </w:r>
    </w:p>
    <w:p w14:paraId="7AFA9E1E">
      <w:pPr>
        <w:pStyle w:val="5"/>
        <w:ind w:firstLine="560"/>
        <w:rPr>
          <w:rFonts w:hint="eastAsia" w:ascii="仿宋_GB2312"/>
        </w:rPr>
      </w:pPr>
      <w:r>
        <w:rPr>
          <w:rFonts w:hint="eastAsia" w:ascii="仿宋_GB2312"/>
        </w:rPr>
        <w:t>（6）管网、沟渠治理及改造。</w:t>
      </w:r>
    </w:p>
    <w:p w14:paraId="412725E4">
      <w:pPr>
        <w:pStyle w:val="5"/>
        <w:ind w:firstLine="560"/>
        <w:rPr>
          <w:rFonts w:hint="eastAsia" w:ascii="仿宋_GB2312"/>
        </w:rPr>
      </w:pPr>
      <w:r>
        <w:rPr>
          <w:rFonts w:hint="eastAsia" w:ascii="仿宋_GB2312"/>
        </w:rPr>
        <w:t>（7）园林绿化补栽补种及景观设计。</w:t>
      </w:r>
    </w:p>
    <w:p w14:paraId="2FA72C8C">
      <w:pPr>
        <w:pStyle w:val="5"/>
        <w:ind w:firstLine="560"/>
        <w:rPr>
          <w:rFonts w:hint="eastAsia" w:ascii="仿宋_GB2312"/>
        </w:rPr>
      </w:pPr>
      <w:r>
        <w:rPr>
          <w:rFonts w:hint="eastAsia" w:ascii="仿宋_GB2312"/>
        </w:rPr>
        <w:t>（8）对政府遗留设备进行三方评估定价，企业租赁使用，减轻财政负担。</w:t>
      </w:r>
    </w:p>
    <w:p w14:paraId="665E22D3">
      <w:pPr>
        <w:ind w:firstLine="560" w:firstLineChars="200"/>
        <w:rPr>
          <w:rFonts w:hint="eastAsia" w:ascii="仿宋_GB2312" w:hAnsi="宋体" w:eastAsia="仿宋_GB2312" w:cs="Calibri"/>
          <w:b/>
          <w:bCs/>
        </w:rPr>
      </w:pPr>
      <w:r>
        <w:rPr>
          <w:rFonts w:hint="eastAsia" w:ascii="仿宋_GB2312"/>
        </w:rPr>
        <w:t>（9）结合城市发展整体规划，建设智慧环卫管理系统等。</w:t>
      </w:r>
    </w:p>
    <w:p w14:paraId="01579C32">
      <w:pPr>
        <w:pStyle w:val="2"/>
      </w:pPr>
      <w:bookmarkStart w:id="63" w:name="_Toc11870"/>
      <w:bookmarkStart w:id="64" w:name="_Toc83030174"/>
      <w:r>
        <w:rPr>
          <w:rFonts w:hint="eastAsia"/>
        </w:rPr>
        <w:t>十</w:t>
      </w:r>
      <w:r>
        <w:rPr>
          <w:rFonts w:hint="eastAsia"/>
          <w:lang w:val="en-US" w:eastAsia="zh-CN"/>
        </w:rPr>
        <w:t>三</w:t>
      </w:r>
      <w:r>
        <w:rPr>
          <w:rFonts w:hint="eastAsia"/>
        </w:rPr>
        <w:t>、</w:t>
      </w:r>
      <w:r>
        <w:t>项目实施效益</w:t>
      </w:r>
      <w:bookmarkEnd w:id="63"/>
    </w:p>
    <w:p w14:paraId="368CFF86">
      <w:pPr>
        <w:pStyle w:val="3"/>
        <w:ind w:firstLine="321"/>
      </w:pPr>
      <w:bookmarkStart w:id="65" w:name="_Toc7504"/>
      <w:r>
        <w:t>（一）政治效益</w:t>
      </w:r>
      <w:bookmarkEnd w:id="65"/>
    </w:p>
    <w:p w14:paraId="600BE418">
      <w:pPr>
        <w:pStyle w:val="5"/>
        <w:ind w:firstLine="560"/>
        <w:rPr>
          <w:rFonts w:hint="eastAsia"/>
        </w:rPr>
      </w:pPr>
      <w:r>
        <w:t>全面深化改革背景下，推进政府购买公共服务是转变政府职能、建设服务型政府的重要方向。2013年7月31日国务院常务会议明确提出，提供优质公共服务是推动政府职能转变、推进政事政社分开、建设服务型政府的必然要求。党的十七大报告强调“加快行政管理体制改革、建设服务型政府”，要求健全政府职责体系、完善公共服务体系、强化社会管理与公共服务。本项目实施，有助于政府更好履行经济调节、市场监管、社会管理和公共服务职能，推动治理体系和治理能力现代化。</w:t>
      </w:r>
    </w:p>
    <w:p w14:paraId="37C158C8">
      <w:pPr>
        <w:pStyle w:val="3"/>
        <w:ind w:firstLine="321"/>
      </w:pPr>
      <w:bookmarkStart w:id="66" w:name="_Toc12669"/>
      <w:r>
        <w:t>（二）经济效益</w:t>
      </w:r>
      <w:bookmarkEnd w:id="66"/>
    </w:p>
    <w:p w14:paraId="03E64BF1">
      <w:pPr>
        <w:pStyle w:val="5"/>
        <w:numPr>
          <w:ilvl w:val="0"/>
          <w:numId w:val="8"/>
        </w:numPr>
        <w:ind w:left="0" w:firstLine="560"/>
        <w:rPr>
          <w:rFonts w:hint="eastAsia"/>
        </w:rPr>
      </w:pPr>
      <w:r>
        <w:t>实行政府购买服务，通过市场化招标采购，可将公共服务财政支出控制在合理区间，实现提质增效、节约成本。</w:t>
      </w:r>
    </w:p>
    <w:p w14:paraId="6C573A82">
      <w:pPr>
        <w:pStyle w:val="5"/>
        <w:numPr>
          <w:ilvl w:val="0"/>
          <w:numId w:val="8"/>
        </w:numPr>
        <w:ind w:left="0" w:firstLine="560"/>
        <w:rPr>
          <w:rFonts w:hint="eastAsia"/>
        </w:rPr>
      </w:pPr>
      <w:r>
        <w:t>推动“管干分离”，政府回归指导、监督、考核本位，优化职能配置与机构编制，降低行政运行成本。</w:t>
      </w:r>
    </w:p>
    <w:p w14:paraId="39DAD888">
      <w:pPr>
        <w:pStyle w:val="5"/>
        <w:numPr>
          <w:ilvl w:val="0"/>
          <w:numId w:val="8"/>
        </w:numPr>
        <w:ind w:left="0" w:firstLine="560"/>
        <w:rPr>
          <w:rFonts w:hint="eastAsia"/>
        </w:rPr>
      </w:pPr>
      <w:r>
        <w:t>破除“既当运动员又当裁判员”的体制局限，引入企业市场化管理，激发人员积极性与作业执行力，降低单位运营成本。</w:t>
      </w:r>
    </w:p>
    <w:p w14:paraId="227106D4">
      <w:pPr>
        <w:pStyle w:val="5"/>
        <w:numPr>
          <w:ilvl w:val="0"/>
          <w:numId w:val="8"/>
        </w:numPr>
        <w:ind w:left="0" w:firstLine="560"/>
        <w:rPr>
          <w:rFonts w:hint="eastAsia"/>
        </w:rPr>
      </w:pPr>
      <w:r>
        <w:t>推行同类服务打包采购，由企业统筹资源、一体化履约，减少部门边界壁垒，避免资源分散浪费。</w:t>
      </w:r>
    </w:p>
    <w:p w14:paraId="76EE42ED">
      <w:pPr>
        <w:pStyle w:val="5"/>
        <w:numPr>
          <w:ilvl w:val="0"/>
          <w:numId w:val="8"/>
        </w:numPr>
        <w:ind w:left="0" w:firstLine="560"/>
        <w:rPr>
          <w:rFonts w:hint="eastAsia"/>
        </w:rPr>
      </w:pPr>
      <w:r>
        <w:t>吸引外地优质企业参与本地建设，促进信息互通、资源导入，挖掘城市发展潜力，带动关联产业协同发展。</w:t>
      </w:r>
    </w:p>
    <w:p w14:paraId="0727C4CC">
      <w:pPr>
        <w:pStyle w:val="5"/>
        <w:numPr>
          <w:ilvl w:val="0"/>
          <w:numId w:val="8"/>
        </w:numPr>
        <w:ind w:left="0" w:firstLine="560"/>
        <w:rPr>
          <w:rFonts w:hint="eastAsia"/>
        </w:rPr>
      </w:pPr>
      <w:r>
        <w:t>运营企业在本地依法纳税，拓宽税源渠道，助力地方财政稳步增收。</w:t>
      </w:r>
    </w:p>
    <w:p w14:paraId="58CE1348">
      <w:pPr>
        <w:pStyle w:val="3"/>
        <w:ind w:firstLine="321"/>
      </w:pPr>
      <w:bookmarkStart w:id="67" w:name="_Toc11677"/>
      <w:r>
        <w:t>（三）社会效益</w:t>
      </w:r>
      <w:bookmarkEnd w:id="67"/>
    </w:p>
    <w:p w14:paraId="69C0BCE6">
      <w:pPr>
        <w:pStyle w:val="5"/>
        <w:numPr>
          <w:ilvl w:val="0"/>
          <w:numId w:val="9"/>
        </w:numPr>
        <w:ind w:left="0" w:firstLine="562"/>
        <w:rPr>
          <w:rFonts w:hint="eastAsia"/>
        </w:rPr>
      </w:pPr>
      <w:r>
        <w:rPr>
          <w:b/>
          <w:bCs/>
        </w:rPr>
        <w:t>提升公共服务质效</w:t>
      </w:r>
      <w:r>
        <w:t>：引入市场竞争机制，相较传统模式服务效率更高、供给更灵活，能够精准满足公众多样化需求，显著提升服务质量与管理水平。</w:t>
      </w:r>
    </w:p>
    <w:p w14:paraId="2DB2E51F">
      <w:pPr>
        <w:pStyle w:val="5"/>
        <w:numPr>
          <w:ilvl w:val="0"/>
          <w:numId w:val="9"/>
        </w:numPr>
        <w:ind w:left="0" w:firstLine="562"/>
        <w:rPr>
          <w:rFonts w:hint="eastAsia"/>
        </w:rPr>
      </w:pPr>
      <w:r>
        <w:rPr>
          <w:b/>
          <w:bCs/>
        </w:rPr>
        <w:t>推动政府职能转型</w:t>
      </w:r>
      <w:r>
        <w:t>：由行政干预为主转向契约调节、经济约束、法律规范并重，强化政府监管职责，建立以服务质量与社会评价为核心的考核体系。</w:t>
      </w:r>
    </w:p>
    <w:p w14:paraId="4C0654CA">
      <w:pPr>
        <w:pStyle w:val="4"/>
        <w:ind w:firstLine="600"/>
      </w:pPr>
      <w:bookmarkStart w:id="68" w:name="_Toc15416"/>
      <w:r>
        <w:rPr>
          <w:b/>
          <w:bCs/>
        </w:rPr>
        <w:t>深化多方协同治理</w:t>
      </w:r>
      <w:r>
        <w:t>：发挥社会资本在技术、管理、服务等方面优势，提升公共服务整体效能；借助企业渠道宣传城市形象，扩大对外开放与社会影响力。</w:t>
      </w:r>
      <w:bookmarkEnd w:id="64"/>
      <w:bookmarkEnd w:id="68"/>
    </w:p>
    <w:p w14:paraId="679F2805">
      <w:pPr>
        <w:pStyle w:val="4"/>
        <w:ind w:firstLine="600"/>
      </w:pPr>
    </w:p>
    <w:p w14:paraId="1A59E522">
      <w:pPr>
        <w:pStyle w:val="4"/>
        <w:ind w:firstLine="600"/>
      </w:pPr>
    </w:p>
    <w:p w14:paraId="05A7727E">
      <w:pPr>
        <w:pStyle w:val="4"/>
        <w:ind w:firstLine="600"/>
      </w:pPr>
    </w:p>
    <w:p w14:paraId="43BBE936">
      <w:pPr>
        <w:pStyle w:val="4"/>
        <w:ind w:firstLine="600"/>
      </w:pPr>
    </w:p>
    <w:p w14:paraId="24D82A71">
      <w:pPr>
        <w:pStyle w:val="4"/>
        <w:ind w:firstLine="600"/>
      </w:pPr>
    </w:p>
    <w:p w14:paraId="55045C56">
      <w:pPr>
        <w:pStyle w:val="4"/>
        <w:ind w:firstLine="600"/>
      </w:pPr>
    </w:p>
    <w:p w14:paraId="6ACEC7DA">
      <w:pPr>
        <w:pStyle w:val="4"/>
        <w:ind w:firstLine="600"/>
      </w:pPr>
    </w:p>
    <w:p w14:paraId="1776FAD6"/>
    <w:p w14:paraId="0E2D17B2"/>
    <w:p w14:paraId="2C52A875"/>
    <w:p w14:paraId="6F46B24C">
      <w:pPr>
        <w:pStyle w:val="4"/>
        <w:ind w:firstLine="600"/>
        <w:rPr>
          <w:rStyle w:val="34"/>
          <w:rFonts w:hint="eastAsia"/>
          <w:b/>
        </w:rPr>
      </w:pPr>
      <w:bookmarkStart w:id="69" w:name="_Toc16546"/>
      <w:r>
        <w:rPr>
          <w:rStyle w:val="34"/>
          <w:rFonts w:hint="eastAsia"/>
          <w:b w:val="0"/>
        </w:rPr>
        <w:t>附件1：</w:t>
      </w:r>
      <w:bookmarkEnd w:id="69"/>
    </w:p>
    <w:p w14:paraId="6618B43D">
      <w:pPr>
        <w:pStyle w:val="5"/>
        <w:ind w:firstLine="0" w:firstLineChars="0"/>
        <w:jc w:val="center"/>
        <w:rPr>
          <w:rFonts w:hint="eastAsia"/>
        </w:rPr>
      </w:pPr>
      <w:r>
        <w:rPr>
          <w:rFonts w:hint="eastAsia"/>
        </w:rPr>
        <w:t>《托里县市政环卫一体化服务项目》范围图</w:t>
      </w:r>
    </w:p>
    <w:p w14:paraId="4E2681A9">
      <w:pPr>
        <w:pStyle w:val="5"/>
        <w:ind w:firstLine="0" w:firstLineChars="0"/>
        <w:jc w:val="center"/>
        <w:rPr>
          <w:rFonts w:hint="eastAsia"/>
        </w:rPr>
      </w:pPr>
      <w:r>
        <w:drawing>
          <wp:inline distT="0" distB="0" distL="0" distR="0">
            <wp:extent cx="5278120" cy="5182235"/>
            <wp:effectExtent l="0" t="0" r="0" b="0"/>
            <wp:docPr id="1829122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22107"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8120" cy="5182235"/>
                    </a:xfrm>
                    <a:prstGeom prst="rect">
                      <a:avLst/>
                    </a:prstGeom>
                    <a:noFill/>
                    <a:ln>
                      <a:noFill/>
                    </a:ln>
                  </pic:spPr>
                </pic:pic>
              </a:graphicData>
            </a:graphic>
          </wp:inline>
        </w:drawing>
      </w:r>
    </w:p>
    <w:p w14:paraId="5CAC4D79">
      <w:pPr>
        <w:pStyle w:val="5"/>
        <w:spacing w:line="240" w:lineRule="auto"/>
        <w:ind w:firstLine="0" w:firstLineChars="0"/>
        <w:rPr>
          <w:rFonts w:hint="eastAsia"/>
        </w:rPr>
      </w:pPr>
    </w:p>
    <w:p w14:paraId="2BF631E8">
      <w:pPr>
        <w:pStyle w:val="5"/>
        <w:spacing w:line="240" w:lineRule="auto"/>
        <w:ind w:firstLine="0" w:firstLineChars="0"/>
        <w:rPr>
          <w:rFonts w:hint="eastAsia"/>
        </w:rPr>
      </w:pPr>
    </w:p>
    <w:p w14:paraId="7DF788F8">
      <w:pPr>
        <w:pStyle w:val="5"/>
        <w:spacing w:line="240" w:lineRule="auto"/>
        <w:ind w:firstLine="0" w:firstLineChars="0"/>
        <w:rPr>
          <w:rFonts w:hint="eastAsia"/>
        </w:rPr>
      </w:pPr>
    </w:p>
    <w:p w14:paraId="0CA584B3">
      <w:pPr>
        <w:pStyle w:val="5"/>
        <w:ind w:firstLine="560"/>
        <w:rPr>
          <w:rFonts w:hint="eastAsia"/>
        </w:rPr>
        <w:sectPr>
          <w:headerReference r:id="rId10" w:type="default"/>
          <w:footerReference r:id="rId11" w:type="default"/>
          <w:pgSz w:w="11906" w:h="16838"/>
          <w:pgMar w:top="1440" w:right="1797" w:bottom="1440" w:left="1797" w:header="851" w:footer="992" w:gutter="0"/>
          <w:cols w:space="425" w:num="1"/>
          <w:docGrid w:linePitch="381" w:charSpace="0"/>
        </w:sectPr>
      </w:pPr>
    </w:p>
    <w:bookmarkEnd w:id="59"/>
    <w:p w14:paraId="036F761C">
      <w:pPr>
        <w:pStyle w:val="4"/>
        <w:ind w:firstLine="600"/>
        <w:rPr>
          <w:rStyle w:val="34"/>
          <w:rFonts w:hint="eastAsia"/>
          <w:b/>
        </w:rPr>
      </w:pPr>
      <w:bookmarkStart w:id="70" w:name="_Toc14116"/>
      <w:r>
        <w:rPr>
          <w:rStyle w:val="34"/>
          <w:rFonts w:hint="eastAsia"/>
          <w:b w:val="0"/>
        </w:rPr>
        <w:t>附件2：</w:t>
      </w:r>
      <w:bookmarkEnd w:id="70"/>
    </w:p>
    <w:p w14:paraId="587513DA">
      <w:pPr>
        <w:pStyle w:val="5"/>
        <w:ind w:firstLine="0" w:firstLineChars="0"/>
        <w:jc w:val="center"/>
        <w:rPr>
          <w:rFonts w:hint="eastAsia"/>
          <w:b/>
          <w:bCs/>
        </w:rPr>
      </w:pPr>
      <w:r>
        <w:rPr>
          <w:rFonts w:hint="eastAsia"/>
          <w:b/>
          <w:bCs/>
        </w:rPr>
        <w:t>托里县市政环卫一体化服务项目考核办法</w:t>
      </w:r>
    </w:p>
    <w:p w14:paraId="5212BA60">
      <w:pPr>
        <w:pStyle w:val="5"/>
        <w:ind w:firstLine="562"/>
        <w:jc w:val="center"/>
        <w:rPr>
          <w:rFonts w:hint="eastAsia"/>
          <w:b/>
          <w:bCs/>
        </w:rPr>
      </w:pPr>
    </w:p>
    <w:p w14:paraId="72D7BE97">
      <w:pPr>
        <w:pStyle w:val="5"/>
        <w:ind w:firstLine="560"/>
        <w:rPr>
          <w:rFonts w:hint="eastAsia"/>
        </w:rPr>
      </w:pPr>
      <w:r>
        <w:rPr>
          <w:rFonts w:hint="eastAsia"/>
        </w:rPr>
        <w:t>为了促进城市管理事业的发展，且贯彻执行国家、自治区《关于政府向社会力量购买服务的指导意见》、《自治区政府购买服务工作实施方案》、《新疆维吾尔自治区人民政府关于加快城市市政公用事业改革和发展的意见》等相关政策精神，实现政府“管干分离”，打破了“既是裁判员，又当运动员”的局面，减轻政府管理负担，提高托里县城市管理的运行效率，提高托里县城市公共服务作业质量和管理水平，努力创造干净舒适的城市市容环境。</w:t>
      </w:r>
    </w:p>
    <w:p w14:paraId="12CAB4DB">
      <w:pPr>
        <w:pStyle w:val="5"/>
        <w:ind w:firstLine="560"/>
        <w:rPr>
          <w:rFonts w:hint="eastAsia"/>
        </w:rPr>
      </w:pPr>
      <w:r>
        <w:rPr>
          <w:rFonts w:hint="eastAsia"/>
        </w:rPr>
        <w:t>结合托里县市政环卫一体化服务项目工作实际，制订本考核办法。</w:t>
      </w:r>
    </w:p>
    <w:p w14:paraId="631FF729">
      <w:pPr>
        <w:pStyle w:val="5"/>
        <w:ind w:firstLine="560"/>
        <w:rPr>
          <w:rFonts w:hint="eastAsia"/>
        </w:rPr>
      </w:pPr>
      <w:r>
        <w:rPr>
          <w:rFonts w:hint="eastAsia"/>
        </w:rPr>
        <w:t>一、指导思想</w:t>
      </w:r>
    </w:p>
    <w:p w14:paraId="4A40FE80">
      <w:pPr>
        <w:pStyle w:val="5"/>
        <w:ind w:firstLine="560"/>
        <w:rPr>
          <w:rFonts w:hint="eastAsia"/>
        </w:rPr>
      </w:pPr>
      <w:r>
        <w:rPr>
          <w:rFonts w:hint="eastAsia"/>
        </w:rPr>
        <w:t>全面贯彻落实县委、县人民政府有关城市管家的工作要求，以改善和优化城市形象面貌为目标，努力构建城市管家管理格局，全面提升城市公共服务的质量和管理水平，推进实施城市公共服务的规范化、精细化和长效化管理。</w:t>
      </w:r>
    </w:p>
    <w:p w14:paraId="7FD7FC0C">
      <w:pPr>
        <w:pStyle w:val="5"/>
        <w:ind w:firstLine="560"/>
        <w:rPr>
          <w:rFonts w:hint="eastAsia"/>
        </w:rPr>
      </w:pPr>
      <w:r>
        <w:rPr>
          <w:rFonts w:hint="eastAsia"/>
        </w:rPr>
        <w:t>二、考核对象及内容</w:t>
      </w:r>
    </w:p>
    <w:p w14:paraId="13FEF6B2">
      <w:pPr>
        <w:pStyle w:val="5"/>
        <w:ind w:firstLine="560"/>
        <w:rPr>
          <w:rFonts w:hint="eastAsia"/>
        </w:rPr>
      </w:pPr>
      <w:r>
        <w:rPr>
          <w:rFonts w:hint="eastAsia"/>
        </w:rPr>
        <w:t>(一)考核对象</w:t>
      </w:r>
    </w:p>
    <w:p w14:paraId="18979BAA">
      <w:pPr>
        <w:pStyle w:val="5"/>
        <w:ind w:firstLine="560"/>
        <w:rPr>
          <w:rFonts w:hint="eastAsia"/>
        </w:rPr>
      </w:pPr>
      <w:r>
        <w:rPr>
          <w:rFonts w:hint="eastAsia"/>
        </w:rPr>
        <w:t>(以下简称项目公司)。</w:t>
      </w:r>
    </w:p>
    <w:p w14:paraId="4A6619B1">
      <w:pPr>
        <w:pStyle w:val="5"/>
        <w:ind w:firstLine="560"/>
        <w:rPr>
          <w:rFonts w:hint="eastAsia"/>
        </w:rPr>
      </w:pPr>
      <w:r>
        <w:rPr>
          <w:rFonts w:hint="eastAsia"/>
        </w:rPr>
        <w:t>(二)考核内容</w:t>
      </w:r>
    </w:p>
    <w:p w14:paraId="1794EC54">
      <w:pPr>
        <w:pStyle w:val="5"/>
        <w:ind w:firstLine="560"/>
        <w:rPr>
          <w:rFonts w:hint="eastAsia"/>
        </w:rPr>
      </w:pPr>
      <w:r>
        <w:rPr>
          <w:rFonts w:hint="eastAsia"/>
        </w:rPr>
        <w:t>托里县城区环卫一体化、公园服务中心作业服务、绿化养护、路灯管护、城市市政设施维修五大业务板块作业服务内容，具体包含：（1）道路综合清扫保洁（2）生活垃圾收集清运（3）冬季除雪（4）绿化养护（5）公园服作业服务、（6）路灯管护（7）</w:t>
      </w:r>
      <w:r>
        <w:rPr>
          <w:rFonts w:hint="eastAsia"/>
          <w:snapToGrid w:val="0"/>
        </w:rPr>
        <w:t>市政设施维修维护</w:t>
      </w:r>
      <w:r>
        <w:rPr>
          <w:rFonts w:hint="eastAsia"/>
        </w:rPr>
        <w:t>。</w:t>
      </w:r>
    </w:p>
    <w:p w14:paraId="7CCBA831">
      <w:pPr>
        <w:pStyle w:val="5"/>
        <w:ind w:firstLine="560"/>
        <w:rPr>
          <w:rFonts w:hint="eastAsia"/>
        </w:rPr>
      </w:pPr>
      <w:r>
        <w:rPr>
          <w:rFonts w:hint="eastAsia"/>
        </w:rPr>
        <w:t>三、考核机构</w:t>
      </w:r>
    </w:p>
    <w:p w14:paraId="22C433F0">
      <w:pPr>
        <w:pStyle w:val="5"/>
        <w:ind w:firstLine="560"/>
        <w:rPr>
          <w:rFonts w:hint="eastAsia"/>
        </w:rPr>
      </w:pPr>
      <w:r>
        <w:rPr>
          <w:rFonts w:hint="eastAsia"/>
        </w:rPr>
        <w:t>成立托里县市政环卫一体化服务项目监督管理委员会，委员会领导由县分管领导担任，成员由各相关部门分管领导组成。具体负责年度评估、中期评估、期满综合评估等相关工作。委员会下设办公室(以下简称考核办)，日常工作人员由县环卫处相关人员组成，具体负责日常监督检查、考核，督促整改、收费等日常工作。</w:t>
      </w:r>
    </w:p>
    <w:p w14:paraId="38766C8A">
      <w:pPr>
        <w:pStyle w:val="5"/>
        <w:ind w:firstLine="560"/>
        <w:rPr>
          <w:rFonts w:hint="eastAsia"/>
        </w:rPr>
      </w:pPr>
      <w:r>
        <w:rPr>
          <w:rFonts w:hint="eastAsia"/>
        </w:rPr>
        <w:t>四、考核方式与方法</w:t>
      </w:r>
    </w:p>
    <w:p w14:paraId="03A18F26">
      <w:pPr>
        <w:pStyle w:val="5"/>
        <w:ind w:firstLine="560"/>
        <w:rPr>
          <w:rFonts w:hint="eastAsia"/>
        </w:rPr>
      </w:pPr>
      <w:r>
        <w:rPr>
          <w:rFonts w:hint="eastAsia"/>
        </w:rPr>
        <w:t>主要采取日常巡查、专项检查、社会责任考评等方式，结合月考核、年评估形式进行，考核成绩采用百分制计分。</w:t>
      </w:r>
    </w:p>
    <w:p w14:paraId="4E6CA270">
      <w:pPr>
        <w:pStyle w:val="5"/>
        <w:ind w:firstLine="560"/>
        <w:rPr>
          <w:rFonts w:hint="eastAsia"/>
        </w:rPr>
      </w:pPr>
      <w:r>
        <w:rPr>
          <w:rFonts w:hint="eastAsia"/>
        </w:rPr>
        <w:t>(一) 考核方式</w:t>
      </w:r>
    </w:p>
    <w:p w14:paraId="6E47A933">
      <w:pPr>
        <w:pStyle w:val="5"/>
        <w:ind w:firstLine="560"/>
        <w:rPr>
          <w:rFonts w:hint="eastAsia"/>
        </w:rPr>
      </w:pPr>
      <w:r>
        <w:rPr>
          <w:rFonts w:hint="eastAsia"/>
        </w:rPr>
        <w:t>1.日常巡查</w:t>
      </w:r>
    </w:p>
    <w:p w14:paraId="1847F647">
      <w:pPr>
        <w:pStyle w:val="5"/>
        <w:ind w:firstLine="560"/>
        <w:rPr>
          <w:rFonts w:hint="eastAsia"/>
        </w:rPr>
      </w:pPr>
      <w:r>
        <w:rPr>
          <w:rFonts w:hint="eastAsia"/>
        </w:rPr>
        <w:t>由考核办组织相关人员，每天重点对项目公司道路综合清扫保洁、垃圾收运、绿化养护、路灯管理、公园服务中心作业服务等作业开展情况进行检查，对巡查中发现的问题，及时通知项目公司整改，结合《托里县市政环卫一体化服务项目考核办法》，进行取证、量化打分，同时每日汇总巡查情况，形成巡查考核情况日报，报县住建局备案，作为当月核拨服务费用基础依据。</w:t>
      </w:r>
    </w:p>
    <w:p w14:paraId="14576777">
      <w:pPr>
        <w:pStyle w:val="5"/>
        <w:ind w:firstLine="560"/>
        <w:rPr>
          <w:rFonts w:hint="eastAsia"/>
        </w:rPr>
      </w:pPr>
      <w:r>
        <w:rPr>
          <w:rFonts w:hint="eastAsia"/>
        </w:rPr>
        <w:t>2.专项检查</w:t>
      </w:r>
    </w:p>
    <w:p w14:paraId="556D270F">
      <w:pPr>
        <w:pStyle w:val="5"/>
        <w:ind w:firstLine="560"/>
        <w:rPr>
          <w:rFonts w:hint="eastAsia"/>
        </w:rPr>
      </w:pPr>
      <w:r>
        <w:rPr>
          <w:rFonts w:hint="eastAsia"/>
        </w:rPr>
        <w:t>原则上每3个月开展一次专项检查，依实际情况可适当调整。由县住建局组织对项目公司服务合同内的内容板块作业服务情况进行抽查，检查时通知项目公司代表参加。对抽查中发现的问题，书面通知项目公司整改，同时结合《托里县市政环卫一体化服务项目考核办法》，进行量化打分，并形成专项检查考核情况通报，作为当月核拨服务费用基础依据。</w:t>
      </w:r>
    </w:p>
    <w:p w14:paraId="67DAB6AA">
      <w:pPr>
        <w:pStyle w:val="5"/>
        <w:ind w:firstLine="560"/>
        <w:rPr>
          <w:rFonts w:hint="eastAsia"/>
        </w:rPr>
      </w:pPr>
      <w:r>
        <w:rPr>
          <w:rFonts w:hint="eastAsia"/>
        </w:rPr>
        <w:t>3.社会责任考评</w:t>
      </w:r>
    </w:p>
    <w:p w14:paraId="0816D584">
      <w:pPr>
        <w:pStyle w:val="5"/>
        <w:ind w:firstLine="560"/>
        <w:rPr>
          <w:rFonts w:hint="eastAsia"/>
        </w:rPr>
      </w:pPr>
      <w:r>
        <w:rPr>
          <w:rFonts w:hint="eastAsia"/>
        </w:rPr>
        <w:t>重点考评项目公司对各级督查、通报问题及整改落实及反馈，公司及作业人员管理，各类活动迎检准备，各类信息、资料报送等方面情况；各类媒体曝光、群众投诉等反映环卫作业问题及处理、答复工作；县委、政府部门安排部署工作落实情况。</w:t>
      </w:r>
    </w:p>
    <w:p w14:paraId="1CDE4A63">
      <w:pPr>
        <w:pStyle w:val="5"/>
        <w:ind w:firstLine="560"/>
        <w:rPr>
          <w:rFonts w:hint="eastAsia"/>
        </w:rPr>
      </w:pPr>
      <w:r>
        <w:rPr>
          <w:rFonts w:hint="eastAsia"/>
        </w:rPr>
        <w:t>对县委、政府领导、住建局领导在日常巡查及专项检查之外发现的问题，追加扣除当月相应考核月度得分。</w:t>
      </w:r>
    </w:p>
    <w:p w14:paraId="0C48CA5C">
      <w:pPr>
        <w:pStyle w:val="5"/>
        <w:ind w:firstLine="560"/>
        <w:rPr>
          <w:rFonts w:hint="eastAsia"/>
        </w:rPr>
      </w:pPr>
      <w:r>
        <w:rPr>
          <w:rFonts w:hint="eastAsia"/>
        </w:rPr>
        <w:t>重复问题界定规则：</w:t>
      </w:r>
    </w:p>
    <w:p w14:paraId="651C28FF">
      <w:pPr>
        <w:pStyle w:val="5"/>
        <w:ind w:firstLine="560"/>
        <w:rPr>
          <w:rFonts w:hint="eastAsia"/>
        </w:rPr>
      </w:pPr>
      <w:r>
        <w:rPr>
          <w:rFonts w:hint="eastAsia"/>
        </w:rPr>
        <w:t>（1）日常巡查已发现并正式下达《整改通知书》的问题，在整改通知书载明的整改期限内尚未完成整改，又被领导巡查发现的，视为整改不力，适用加重扣分，不视为“同一问题”；</w:t>
      </w:r>
    </w:p>
    <w:p w14:paraId="4F1B8505">
      <w:pPr>
        <w:pStyle w:val="5"/>
        <w:ind w:firstLine="560"/>
        <w:rPr>
          <w:rFonts w:hint="eastAsia"/>
        </w:rPr>
      </w:pPr>
      <w:r>
        <w:rPr>
          <w:rFonts w:hint="eastAsia"/>
        </w:rPr>
        <w:t>（2）领导巡查发现的问题早于日常巡查记录的，按领导巡查扣分执行，日常巡查不再就该问题重复扣分；</w:t>
      </w:r>
    </w:p>
    <w:p w14:paraId="1BCE150C">
      <w:pPr>
        <w:pStyle w:val="5"/>
        <w:ind w:firstLine="560"/>
        <w:rPr>
          <w:rFonts w:hint="eastAsia"/>
        </w:rPr>
      </w:pPr>
      <w:r>
        <w:rPr>
          <w:rFonts w:hint="eastAsia"/>
        </w:rPr>
        <w:t>（3）同一问题在同一考核月度内被多方（如多位领导、多个部门）重复发现的，以首次发现并记录为准，其余不再重复扣分，但企业须在首次发现问题后立即整改。</w:t>
      </w:r>
    </w:p>
    <w:p w14:paraId="397B1374">
      <w:pPr>
        <w:pStyle w:val="5"/>
        <w:ind w:firstLine="560"/>
        <w:rPr>
          <w:rFonts w:hint="eastAsia"/>
        </w:rPr>
      </w:pPr>
      <w:r>
        <w:rPr>
          <w:rFonts w:hint="eastAsia"/>
        </w:rPr>
        <w:t>(二) 考核方法</w:t>
      </w:r>
    </w:p>
    <w:p w14:paraId="162A1BA8">
      <w:pPr>
        <w:pStyle w:val="5"/>
        <w:ind w:firstLine="560"/>
        <w:rPr>
          <w:rFonts w:hint="eastAsia"/>
        </w:rPr>
      </w:pPr>
      <w:r>
        <w:rPr>
          <w:rFonts w:hint="eastAsia"/>
        </w:rPr>
        <w:t>1.月考核</w:t>
      </w:r>
    </w:p>
    <w:p w14:paraId="108B751C">
      <w:pPr>
        <w:pStyle w:val="5"/>
        <w:ind w:firstLine="560"/>
        <w:rPr>
          <w:rFonts w:hint="eastAsia"/>
        </w:rPr>
      </w:pPr>
      <w:r>
        <w:rPr>
          <w:rFonts w:hint="eastAsia"/>
        </w:rPr>
        <w:t>月考核得分=100-日常巡查扣分X80%-专项检查扣分X20%-社会责任考评扣分-县委、政府领导，住建局、乡镇领导除巡查、专项检查外发现问题扣分+奖励加分。当月未开展专项检查的，日常巡查扣分不适用比例计分。</w:t>
      </w:r>
    </w:p>
    <w:p w14:paraId="3F538E5C">
      <w:pPr>
        <w:pStyle w:val="5"/>
        <w:ind w:firstLine="560"/>
        <w:rPr>
          <w:rFonts w:hint="eastAsia"/>
        </w:rPr>
      </w:pPr>
      <w:r>
        <w:rPr>
          <w:rFonts w:hint="eastAsia"/>
        </w:rPr>
        <w:t>连续3个月考核得分不足60分的，甲方有权终止服务合同，予以接管。</w:t>
      </w:r>
    </w:p>
    <w:p w14:paraId="75FF3C09">
      <w:pPr>
        <w:pStyle w:val="5"/>
        <w:numPr>
          <w:ilvl w:val="0"/>
          <w:numId w:val="10"/>
        </w:numPr>
        <w:ind w:firstLine="560"/>
        <w:rPr>
          <w:rFonts w:hint="eastAsia"/>
        </w:rPr>
      </w:pPr>
      <w:r>
        <w:rPr>
          <w:rFonts w:hint="eastAsia"/>
        </w:rPr>
        <w:t>年度评估</w:t>
      </w:r>
    </w:p>
    <w:p w14:paraId="3E9D5D66">
      <w:pPr>
        <w:pStyle w:val="5"/>
        <w:ind w:firstLine="560"/>
        <w:rPr>
          <w:rFonts w:hint="eastAsia"/>
        </w:rPr>
      </w:pPr>
      <w:r>
        <w:rPr>
          <w:rFonts w:hint="eastAsia"/>
        </w:rPr>
        <w:t>由县考核办结合项目公司全年度月考核得分，综合考虑项目公司全年各项工作开展总体情况，经县住建局审查，向县城乡环卫一体化监督管理委员会提交年度评估报告，同时抄送项目公司。年度评估报告包括项目公司年度环卫服务开展总体情况，存在的问题，下一步工作建议。年度评估得分70分(含70分，下同)以上视为合格。</w:t>
      </w:r>
    </w:p>
    <w:p w14:paraId="2F797416">
      <w:pPr>
        <w:pStyle w:val="5"/>
        <w:ind w:firstLine="560"/>
        <w:rPr>
          <w:rFonts w:hint="eastAsia"/>
        </w:rPr>
      </w:pPr>
      <w:r>
        <w:rPr>
          <w:rFonts w:hint="eastAsia"/>
        </w:rPr>
        <w:t>五、管理及奖惩措施</w:t>
      </w:r>
    </w:p>
    <w:p w14:paraId="551CCCB8">
      <w:pPr>
        <w:pStyle w:val="5"/>
        <w:ind w:firstLine="560"/>
        <w:rPr>
          <w:rFonts w:hint="eastAsia"/>
        </w:rPr>
      </w:pPr>
      <w:r>
        <w:rPr>
          <w:rFonts w:hint="eastAsia"/>
        </w:rPr>
        <w:t>按照“业务指导与解决问题相统一、作业质量与管理水平相衔接、考核成绩与经费奖惩相挂钩”的原则，加强城市管家项目的管理，采取下列措施:</w:t>
      </w:r>
    </w:p>
    <w:p w14:paraId="088ED3CF">
      <w:pPr>
        <w:pStyle w:val="5"/>
        <w:ind w:firstLine="560"/>
        <w:rPr>
          <w:rFonts w:hint="eastAsia"/>
        </w:rPr>
      </w:pPr>
      <w:r>
        <w:rPr>
          <w:rFonts w:hint="eastAsia"/>
        </w:rPr>
        <w:t>(一) 通报制度</w:t>
      </w:r>
    </w:p>
    <w:p w14:paraId="048EBA57">
      <w:pPr>
        <w:pStyle w:val="5"/>
        <w:ind w:firstLine="560"/>
        <w:rPr>
          <w:rFonts w:hint="eastAsia" w:ascii="仿宋_GB2312"/>
        </w:rPr>
      </w:pPr>
      <w:r>
        <w:rPr>
          <w:rFonts w:hint="eastAsia"/>
        </w:rPr>
        <w:t>每日由县考核办将考核结果进行汇总整理，同时指导做好环卫保洁</w:t>
      </w:r>
      <w:r>
        <w:rPr>
          <w:rFonts w:hint="eastAsia" w:ascii="仿宋_GB2312"/>
        </w:rPr>
        <w:t>工作，追踪问题的整改，并形成《托里县市政环卫一体化服务项目作业质量日报》，于次工作日报住建局，并抄送项目公司。</w:t>
      </w:r>
    </w:p>
    <w:p w14:paraId="116B01B6">
      <w:pPr>
        <w:pStyle w:val="5"/>
        <w:ind w:firstLine="560"/>
        <w:rPr>
          <w:rFonts w:hint="eastAsia" w:ascii="仿宋_GB2312"/>
        </w:rPr>
      </w:pPr>
      <w:r>
        <w:rPr>
          <w:rFonts w:hint="eastAsia" w:ascii="仿宋_GB2312"/>
        </w:rPr>
        <w:t>每月由县考核办汇总统计当月各项考核检查情况，报住建局审查后，以月报形式通报县城市管家项目监督管理委员会各成员单位，并抄送项目公司，作为当月核拨服务费用依据。作为并通过县住建局网站公布，接受社会的监督。</w:t>
      </w:r>
    </w:p>
    <w:p w14:paraId="116E0E6F">
      <w:pPr>
        <w:pStyle w:val="5"/>
        <w:ind w:firstLine="560"/>
        <w:rPr>
          <w:rFonts w:hint="eastAsia" w:ascii="仿宋_GB2312"/>
        </w:rPr>
      </w:pPr>
      <w:r>
        <w:rPr>
          <w:rFonts w:hint="eastAsia" w:ascii="仿宋_GB2312"/>
        </w:rPr>
        <w:t>(二) 奖惩制度</w:t>
      </w:r>
    </w:p>
    <w:p w14:paraId="21D456B4">
      <w:pPr>
        <w:pStyle w:val="5"/>
        <w:ind w:firstLine="560"/>
        <w:rPr>
          <w:rFonts w:hint="eastAsia" w:ascii="仿宋_GB2312"/>
        </w:rPr>
      </w:pPr>
      <w:r>
        <w:rPr>
          <w:rFonts w:hint="eastAsia" w:ascii="仿宋_GB2312"/>
        </w:rPr>
        <w:t>环卫项目分公司环卫作业经费与考核情况挂钩。由县住建局根据各月度考核情况按月审核、申请拨付，具体拨付标准为:</w:t>
      </w:r>
    </w:p>
    <w:p w14:paraId="0F74948E">
      <w:pPr>
        <w:pStyle w:val="5"/>
        <w:numPr>
          <w:ilvl w:val="0"/>
          <w:numId w:val="11"/>
        </w:numPr>
        <w:ind w:firstLine="560"/>
        <w:rPr>
          <w:rFonts w:hint="eastAsia" w:ascii="仿宋_GB2312"/>
        </w:rPr>
      </w:pPr>
      <w:r>
        <w:rPr>
          <w:rFonts w:hint="eastAsia" w:ascii="仿宋_GB2312"/>
        </w:rPr>
        <w:t>每月综合得分≥90分的视为优秀，全额结算当月承包费；</w:t>
      </w:r>
    </w:p>
    <w:p w14:paraId="073FE342">
      <w:pPr>
        <w:pStyle w:val="5"/>
        <w:numPr>
          <w:ilvl w:val="0"/>
          <w:numId w:val="11"/>
        </w:numPr>
        <w:ind w:firstLine="560"/>
        <w:rPr>
          <w:rFonts w:hint="eastAsia" w:ascii="仿宋_GB2312"/>
        </w:rPr>
      </w:pPr>
      <w:r>
        <w:rPr>
          <w:rFonts w:hint="eastAsia" w:ascii="仿宋_GB2312"/>
        </w:rPr>
        <w:t>每月综合得分在89分(含)至80分区间的视为合格，按每扣1分扣除费用1000元计算；</w:t>
      </w:r>
    </w:p>
    <w:p w14:paraId="2AAAEF23">
      <w:pPr>
        <w:pStyle w:val="5"/>
        <w:numPr>
          <w:ilvl w:val="0"/>
          <w:numId w:val="11"/>
        </w:numPr>
        <w:ind w:firstLine="560"/>
        <w:rPr>
          <w:rFonts w:hint="eastAsia" w:ascii="仿宋_GB2312"/>
        </w:rPr>
      </w:pPr>
      <w:r>
        <w:rPr>
          <w:rFonts w:hint="eastAsia" w:ascii="仿宋_GB2312"/>
        </w:rPr>
        <w:t>每月综合得分在79分(含)至70分区间的视为基本合格，按每扣1分扣除费用5000元计算；</w:t>
      </w:r>
    </w:p>
    <w:p w14:paraId="07D59495">
      <w:pPr>
        <w:pStyle w:val="5"/>
        <w:ind w:firstLine="560"/>
        <w:rPr>
          <w:rFonts w:hint="eastAsia" w:ascii="仿宋_GB2312"/>
        </w:rPr>
      </w:pPr>
      <w:r>
        <w:rPr>
          <w:rFonts w:hint="eastAsia" w:ascii="仿宋_GB2312"/>
        </w:rPr>
        <w:t>3.每月综合得分在69分(含)至60分(含)区间的不合格，按扣1分扣除费用10000元计算；</w:t>
      </w:r>
    </w:p>
    <w:p w14:paraId="7445B9C1">
      <w:pPr>
        <w:pStyle w:val="5"/>
        <w:ind w:firstLine="560"/>
        <w:rPr>
          <w:rFonts w:hint="eastAsia" w:ascii="仿宋_GB2312"/>
        </w:rPr>
      </w:pPr>
      <w:r>
        <w:rPr>
          <w:rFonts w:hint="eastAsia" w:ascii="仿宋_GB2312"/>
        </w:rPr>
        <w:t>4.每月综合得分60分以下的视为差，给予服务企业服务</w:t>
      </w:r>
      <w:r>
        <w:rPr>
          <w:rFonts w:hint="eastAsia" w:ascii="仿宋_GB2312"/>
          <w:lang w:eastAsia="zh-CN"/>
        </w:rPr>
        <w:t>书面限期整改通知</w:t>
      </w:r>
      <w:r>
        <w:rPr>
          <w:rFonts w:hint="eastAsia" w:ascii="仿宋_GB2312"/>
        </w:rPr>
        <w:t>，督促乙方于15日内进行整改，如到期后仍未合格，甲方可不予拨付服务费，并扣除当期服务费及履约保证金，且</w:t>
      </w:r>
      <w:r>
        <w:rPr>
          <w:rFonts w:hint="eastAsia" w:ascii="仿宋_GB2312"/>
          <w:lang w:eastAsia="zh-CN"/>
        </w:rPr>
        <w:t>甲方有权依据合同约定单方解除合同</w:t>
      </w:r>
      <w:r>
        <w:rPr>
          <w:rFonts w:hint="eastAsia" w:ascii="仿宋_GB2312"/>
        </w:rPr>
        <w:t>。</w:t>
      </w:r>
    </w:p>
    <w:p w14:paraId="316BE625">
      <w:pPr>
        <w:pStyle w:val="5"/>
        <w:ind w:firstLine="560"/>
        <w:rPr>
          <w:rFonts w:hint="eastAsia" w:ascii="仿宋_GB2312"/>
        </w:rPr>
      </w:pPr>
      <w:r>
        <w:rPr>
          <w:rFonts w:hint="eastAsia" w:ascii="仿宋_GB2312"/>
        </w:rPr>
        <w:t>(三)资信等级评定制度</w:t>
      </w:r>
    </w:p>
    <w:p w14:paraId="7C498A68">
      <w:pPr>
        <w:pStyle w:val="5"/>
        <w:ind w:firstLine="560"/>
        <w:rPr>
          <w:rFonts w:hint="eastAsia" w:ascii="仿宋_GB2312"/>
        </w:rPr>
      </w:pPr>
      <w:r>
        <w:rPr>
          <w:rFonts w:hint="eastAsia" w:ascii="仿宋_GB2312"/>
        </w:rPr>
        <w:t>通过对项目管理的考核，把项目公司的考核成绩和履约情况作为资信等级评定的重要依据。</w:t>
      </w:r>
    </w:p>
    <w:p w14:paraId="04CD0EC9">
      <w:pPr>
        <w:pStyle w:val="5"/>
        <w:ind w:firstLine="560"/>
        <w:rPr>
          <w:rFonts w:hint="eastAsia"/>
        </w:rPr>
      </w:pPr>
      <w:r>
        <w:rPr>
          <w:rFonts w:hint="eastAsia"/>
        </w:rPr>
        <w:t>六、相关要求</w:t>
      </w:r>
    </w:p>
    <w:p w14:paraId="4102F712">
      <w:pPr>
        <w:pStyle w:val="5"/>
        <w:ind w:firstLine="560"/>
        <w:rPr>
          <w:rFonts w:hint="eastAsia"/>
        </w:rPr>
      </w:pPr>
      <w:r>
        <w:rPr>
          <w:rFonts w:hint="eastAsia"/>
        </w:rPr>
        <w:t>县考核办监管人员应强化自身业务能力，严肃考核纪律，坚持公开公正公平原则,客观真实的反映作业情况，不断提升作业监管水平。项目公司如对考核过程及结果有疑问，或发现考核检查人员有违规现象，可直接向县住建局反映，将视情节轻重做出相应处理。</w:t>
      </w:r>
    </w:p>
    <w:p w14:paraId="3E01D740">
      <w:pPr>
        <w:pStyle w:val="5"/>
        <w:ind w:firstLine="560"/>
        <w:rPr>
          <w:rFonts w:hint="eastAsia"/>
          <w:kern w:val="0"/>
        </w:rPr>
      </w:pPr>
      <w:r>
        <w:rPr>
          <w:rFonts w:hint="eastAsia"/>
        </w:rPr>
        <w:t>附件：《托里县环境卫生管理考评内容及评分细则》</w:t>
      </w:r>
    </w:p>
    <w:p w14:paraId="1568402E">
      <w:pPr>
        <w:pStyle w:val="5"/>
        <w:ind w:firstLine="0" w:firstLineChars="0"/>
        <w:jc w:val="center"/>
        <w:rPr>
          <w:rFonts w:hint="eastAsia"/>
        </w:rPr>
      </w:pPr>
      <w:r>
        <w:rPr>
          <w:rFonts w:hint="eastAsia"/>
        </w:rPr>
        <w:br w:type="page"/>
      </w:r>
      <w:bookmarkStart w:id="71" w:name="OLE_LINK44"/>
    </w:p>
    <w:p w14:paraId="7D2F9F20">
      <w:pPr>
        <w:pStyle w:val="4"/>
        <w:ind w:firstLine="600"/>
        <w:rPr>
          <w:rStyle w:val="34"/>
          <w:rFonts w:hint="eastAsia"/>
          <w:b w:val="0"/>
        </w:rPr>
      </w:pPr>
      <w:bookmarkStart w:id="72" w:name="_Toc19211"/>
      <w:r>
        <w:rPr>
          <w:rStyle w:val="34"/>
          <w:rFonts w:hint="eastAsia"/>
          <w:b w:val="0"/>
        </w:rPr>
        <w:t>附件3：</w:t>
      </w:r>
      <w:bookmarkEnd w:id="72"/>
    </w:p>
    <w:p w14:paraId="00AA5CA9">
      <w:pPr>
        <w:pStyle w:val="5"/>
        <w:ind w:firstLine="0" w:firstLineChars="0"/>
        <w:jc w:val="center"/>
        <w:rPr>
          <w:rFonts w:hint="eastAsia"/>
          <w:b/>
          <w:bCs/>
        </w:rPr>
      </w:pPr>
      <w:r>
        <w:rPr>
          <w:rFonts w:hint="eastAsia"/>
          <w:b/>
          <w:bCs/>
        </w:rPr>
        <w:t>《托里县环境卫生管理考评内容及评分细则》</w:t>
      </w:r>
      <w:bookmarkEnd w:id="71"/>
      <w:r>
        <w:rPr>
          <w:rFonts w:hint="eastAsia"/>
          <w:b/>
          <w:bCs/>
        </w:rPr>
        <w:t>运用</w:t>
      </w:r>
    </w:p>
    <w:p w14:paraId="190BD6F1">
      <w:pPr>
        <w:pStyle w:val="5"/>
        <w:ind w:firstLine="0" w:firstLineChars="0"/>
        <w:jc w:val="center"/>
        <w:rPr>
          <w:rFonts w:hint="eastAsia"/>
        </w:rPr>
      </w:pPr>
    </w:p>
    <w:p w14:paraId="1086B0B9">
      <w:pPr>
        <w:pStyle w:val="5"/>
        <w:numPr>
          <w:ilvl w:val="1"/>
          <w:numId w:val="12"/>
        </w:numPr>
        <w:ind w:left="0" w:firstLine="560"/>
        <w:rPr>
          <w:rFonts w:hint="eastAsia"/>
          <w:shd w:val="clear" w:color="auto" w:fill="FFFFFF"/>
        </w:rPr>
      </w:pPr>
      <w:r>
        <w:rPr>
          <w:rFonts w:hint="eastAsia"/>
          <w:shd w:val="clear" w:color="auto" w:fill="FFFFFF"/>
        </w:rPr>
        <w:t>考核由</w:t>
      </w:r>
      <w:r>
        <w:rPr>
          <w:rFonts w:hint="eastAsia"/>
        </w:rPr>
        <w:t>托里县住房和城乡建设局</w:t>
      </w:r>
      <w:r>
        <w:rPr>
          <w:rFonts w:hint="eastAsia"/>
          <w:shd w:val="clear" w:color="auto" w:fill="FFFFFF"/>
        </w:rPr>
        <w:t>组织成立的考核小组实施，也可根据项目实施情况委托第三方机构实施。</w:t>
      </w:r>
    </w:p>
    <w:p w14:paraId="13CF65F0">
      <w:pPr>
        <w:pStyle w:val="5"/>
        <w:numPr>
          <w:ilvl w:val="1"/>
          <w:numId w:val="12"/>
        </w:numPr>
        <w:ind w:left="0" w:firstLine="560"/>
        <w:rPr>
          <w:rFonts w:hint="eastAsia"/>
          <w:shd w:val="clear" w:color="auto" w:fill="FFFFFF"/>
        </w:rPr>
      </w:pPr>
      <w:r>
        <w:rPr>
          <w:rFonts w:hint="eastAsia"/>
          <w:shd w:val="clear" w:color="auto" w:fill="FFFFFF"/>
        </w:rPr>
        <w:t>考核小组成员在考核小组组长主持安排下，以“日常考核和按月统计”相结合的方式实施。具体考核时间、考核范围由考核小组根据项目实际情况确定和调整。</w:t>
      </w:r>
    </w:p>
    <w:p w14:paraId="5A317316">
      <w:pPr>
        <w:pStyle w:val="5"/>
        <w:numPr>
          <w:ilvl w:val="1"/>
          <w:numId w:val="12"/>
        </w:numPr>
        <w:ind w:left="0" w:firstLine="560"/>
        <w:rPr>
          <w:rFonts w:hint="eastAsia"/>
          <w:shd w:val="clear" w:color="auto" w:fill="FFFFFF"/>
        </w:rPr>
      </w:pPr>
      <w:r>
        <w:rPr>
          <w:rFonts w:hint="eastAsia"/>
          <w:shd w:val="clear" w:color="auto" w:fill="FFFFFF"/>
        </w:rPr>
        <w:t>考核小组成员在考核中发现的不符合考核要求的事项（包括社会各方面反馈的事项）应即时予以记录，作为日常考核依据。</w:t>
      </w:r>
    </w:p>
    <w:p w14:paraId="4CDC8AEE">
      <w:pPr>
        <w:pStyle w:val="5"/>
        <w:numPr>
          <w:ilvl w:val="1"/>
          <w:numId w:val="12"/>
        </w:numPr>
        <w:ind w:left="0" w:firstLine="560"/>
        <w:rPr>
          <w:rFonts w:hint="eastAsia"/>
          <w:shd w:val="clear" w:color="auto" w:fill="FFFFFF"/>
        </w:rPr>
      </w:pPr>
      <w:r>
        <w:rPr>
          <w:rFonts w:hint="eastAsia"/>
          <w:shd w:val="clear" w:color="auto" w:fill="FFFFFF"/>
        </w:rPr>
        <w:t>本项目按照“日常考核和按月统计”的办法实施，考核采用倒扣分制（以100分为基数），月考核结果与实际支付环卫服务费用进行挂钩。</w:t>
      </w:r>
    </w:p>
    <w:p w14:paraId="389AF2C9">
      <w:pPr>
        <w:pStyle w:val="5"/>
        <w:numPr>
          <w:ilvl w:val="1"/>
          <w:numId w:val="12"/>
        </w:numPr>
        <w:ind w:left="0" w:firstLine="560"/>
        <w:rPr>
          <w:rFonts w:hint="eastAsia"/>
          <w:shd w:val="clear" w:color="auto" w:fill="FFFFFF"/>
        </w:rPr>
      </w:pPr>
      <w:r>
        <w:rPr>
          <w:rFonts w:hint="eastAsia"/>
          <w:shd w:val="clear" w:color="auto" w:fill="FFFFFF"/>
        </w:rPr>
        <w:t>日常考核评分实行倒扣分制，其结果用于每月考核评分及总结。</w:t>
      </w:r>
    </w:p>
    <w:p w14:paraId="660831A1">
      <w:pPr>
        <w:pStyle w:val="5"/>
        <w:numPr>
          <w:ilvl w:val="1"/>
          <w:numId w:val="12"/>
        </w:numPr>
        <w:ind w:left="0" w:firstLine="560"/>
        <w:rPr>
          <w:rFonts w:hint="eastAsia"/>
          <w:shd w:val="clear" w:color="auto" w:fill="FFFFFF"/>
        </w:rPr>
      </w:pPr>
      <w:r>
        <w:rPr>
          <w:rFonts w:hint="eastAsia"/>
          <w:shd w:val="clear" w:color="auto" w:fill="FFFFFF"/>
        </w:rPr>
        <w:t>月考核评分实行百分制，其考核扣分取日常考核扣分的平均值。即月考核得分=100分-（当月日常考核扣分累计数÷考核次数）。</w:t>
      </w:r>
    </w:p>
    <w:p w14:paraId="61144733">
      <w:pPr>
        <w:pStyle w:val="5"/>
        <w:numPr>
          <w:ilvl w:val="1"/>
          <w:numId w:val="12"/>
        </w:numPr>
        <w:ind w:left="0" w:firstLine="560"/>
        <w:rPr>
          <w:rFonts w:hint="eastAsia"/>
          <w:shd w:val="clear" w:color="auto" w:fill="FFFFFF"/>
        </w:rPr>
      </w:pPr>
      <w:r>
        <w:rPr>
          <w:rFonts w:hint="eastAsia"/>
          <w:shd w:val="clear" w:color="auto" w:fill="FFFFFF"/>
        </w:rPr>
        <w:t>考核等次及奖惩</w:t>
      </w:r>
    </w:p>
    <w:p w14:paraId="634B09C9">
      <w:pPr>
        <w:pStyle w:val="5"/>
        <w:ind w:firstLine="560"/>
        <w:rPr>
          <w:rFonts w:hint="eastAsia"/>
          <w:shd w:val="clear" w:color="auto" w:fill="FFFFFF"/>
        </w:rPr>
      </w:pPr>
      <w:r>
        <w:rPr>
          <w:rFonts w:hint="eastAsia"/>
          <w:shd w:val="clear" w:color="auto" w:fill="FFFFFF"/>
        </w:rPr>
        <w:t>1、考核得分与环卫服务费用挂钩，扣分处罚罚金实行分段计算。</w:t>
      </w:r>
    </w:p>
    <w:tbl>
      <w:tblPr>
        <w:tblStyle w:val="31"/>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2"/>
        <w:gridCol w:w="1928"/>
        <w:gridCol w:w="1103"/>
        <w:gridCol w:w="3841"/>
        <w:gridCol w:w="736"/>
      </w:tblGrid>
      <w:tr w14:paraId="62E4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4B1C540E">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序号</w:t>
            </w:r>
          </w:p>
        </w:tc>
        <w:tc>
          <w:tcPr>
            <w:tcW w:w="1928" w:type="dxa"/>
            <w:vAlign w:val="center"/>
          </w:tcPr>
          <w:p w14:paraId="78F5305D">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分值划分</w:t>
            </w:r>
          </w:p>
        </w:tc>
        <w:tc>
          <w:tcPr>
            <w:tcW w:w="1103" w:type="dxa"/>
            <w:vAlign w:val="center"/>
          </w:tcPr>
          <w:p w14:paraId="3FDB7F7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评定结果</w:t>
            </w:r>
          </w:p>
        </w:tc>
        <w:tc>
          <w:tcPr>
            <w:tcW w:w="3841" w:type="dxa"/>
            <w:vAlign w:val="center"/>
          </w:tcPr>
          <w:p w14:paraId="043241B1">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结果应用</w:t>
            </w:r>
          </w:p>
        </w:tc>
        <w:tc>
          <w:tcPr>
            <w:tcW w:w="736" w:type="dxa"/>
            <w:vAlign w:val="center"/>
          </w:tcPr>
          <w:p w14:paraId="1EFB99F0">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备注</w:t>
            </w:r>
          </w:p>
        </w:tc>
      </w:tr>
      <w:tr w14:paraId="331B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44B1D6DA">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b/>
                <w:bCs/>
                <w:sz w:val="24"/>
                <w:lang w:eastAsia="en-US"/>
              </w:rPr>
            </w:pPr>
          </w:p>
        </w:tc>
        <w:tc>
          <w:tcPr>
            <w:tcW w:w="1928" w:type="dxa"/>
            <w:vAlign w:val="center"/>
          </w:tcPr>
          <w:p w14:paraId="512023C2">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≥90</w:t>
            </w:r>
            <w:r>
              <w:rPr>
                <w:rFonts w:hint="eastAsia" w:ascii="仿宋_GB2312" w:hAnsi="宋体" w:eastAsia="仿宋_GB2312" w:cs="宋体"/>
                <w:sz w:val="24"/>
                <w:lang w:eastAsia="en-US"/>
              </w:rPr>
              <w:t>分</w:t>
            </w:r>
          </w:p>
        </w:tc>
        <w:tc>
          <w:tcPr>
            <w:tcW w:w="1103" w:type="dxa"/>
            <w:vAlign w:val="center"/>
          </w:tcPr>
          <w:p w14:paraId="01667905">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优秀</w:t>
            </w:r>
          </w:p>
        </w:tc>
        <w:tc>
          <w:tcPr>
            <w:tcW w:w="3841" w:type="dxa"/>
          </w:tcPr>
          <w:p w14:paraId="02D72666">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lang w:eastAsia="en-US"/>
              </w:rPr>
              <w:t>全额拨付费用</w:t>
            </w:r>
          </w:p>
        </w:tc>
        <w:tc>
          <w:tcPr>
            <w:tcW w:w="736" w:type="dxa"/>
            <w:vAlign w:val="center"/>
          </w:tcPr>
          <w:p w14:paraId="35E953A3">
            <w:pPr>
              <w:autoSpaceDE w:val="0"/>
              <w:autoSpaceDN w:val="0"/>
              <w:spacing w:line="240" w:lineRule="auto"/>
              <w:jc w:val="center"/>
              <w:rPr>
                <w:rFonts w:hint="eastAsia" w:ascii="仿宋_GB2312" w:hAnsi="宋体" w:eastAsia="仿宋_GB2312" w:cs="宋体"/>
                <w:b/>
                <w:bCs/>
                <w:sz w:val="24"/>
                <w:lang w:eastAsia="en-US"/>
              </w:rPr>
            </w:pPr>
          </w:p>
        </w:tc>
      </w:tr>
      <w:tr w14:paraId="5C9B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2" w:type="dxa"/>
            <w:vAlign w:val="center"/>
          </w:tcPr>
          <w:p w14:paraId="54F2A1C2">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lang w:eastAsia="en-US"/>
              </w:rPr>
            </w:pPr>
          </w:p>
        </w:tc>
        <w:tc>
          <w:tcPr>
            <w:tcW w:w="1928" w:type="dxa"/>
            <w:vAlign w:val="center"/>
          </w:tcPr>
          <w:p w14:paraId="73A96097">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lang w:eastAsia="en-US"/>
              </w:rPr>
              <w:t>8</w:t>
            </w:r>
            <w:r>
              <w:rPr>
                <w:rFonts w:hint="eastAsia" w:ascii="仿宋_GB2312" w:hAnsi="宋体" w:eastAsia="仿宋_GB2312" w:cs="宋体"/>
                <w:sz w:val="24"/>
              </w:rPr>
              <w:t>9</w:t>
            </w:r>
            <w:r>
              <w:rPr>
                <w:rFonts w:hint="eastAsia" w:ascii="仿宋_GB2312" w:hAnsi="宋体" w:eastAsia="仿宋_GB2312" w:cs="宋体"/>
                <w:sz w:val="24"/>
                <w:lang w:eastAsia="en-US"/>
              </w:rPr>
              <w:t>~</w:t>
            </w:r>
            <w:r>
              <w:rPr>
                <w:rFonts w:hint="eastAsia" w:ascii="仿宋_GB2312" w:hAnsi="宋体" w:eastAsia="仿宋_GB2312" w:cs="宋体"/>
                <w:sz w:val="24"/>
              </w:rPr>
              <w:t>80</w:t>
            </w:r>
            <w:r>
              <w:rPr>
                <w:rFonts w:hint="eastAsia" w:ascii="仿宋_GB2312" w:hAnsi="宋体" w:eastAsia="仿宋_GB2312" w:cs="宋体"/>
                <w:sz w:val="24"/>
                <w:lang w:eastAsia="en-US"/>
              </w:rPr>
              <w:t>(含</w:t>
            </w:r>
            <w:r>
              <w:rPr>
                <w:rFonts w:hint="eastAsia" w:ascii="仿宋_GB2312" w:hAnsi="宋体" w:eastAsia="仿宋_GB2312" w:cs="宋体"/>
                <w:sz w:val="24"/>
              </w:rPr>
              <w:t>80</w:t>
            </w:r>
            <w:r>
              <w:rPr>
                <w:rFonts w:hint="eastAsia" w:ascii="仿宋_GB2312" w:hAnsi="宋体" w:eastAsia="仿宋_GB2312" w:cs="宋体"/>
                <w:sz w:val="24"/>
                <w:lang w:eastAsia="en-US"/>
              </w:rPr>
              <w:t>)</w:t>
            </w:r>
          </w:p>
        </w:tc>
        <w:tc>
          <w:tcPr>
            <w:tcW w:w="1103" w:type="dxa"/>
            <w:vAlign w:val="center"/>
          </w:tcPr>
          <w:p w14:paraId="0E3503CA">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合格</w:t>
            </w:r>
          </w:p>
        </w:tc>
        <w:tc>
          <w:tcPr>
            <w:tcW w:w="3841" w:type="dxa"/>
          </w:tcPr>
          <w:p w14:paraId="235CAFA8">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每扣1分扣除费用1000元计算</w:t>
            </w:r>
          </w:p>
        </w:tc>
        <w:tc>
          <w:tcPr>
            <w:tcW w:w="736" w:type="dxa"/>
            <w:vMerge w:val="restart"/>
          </w:tcPr>
          <w:p w14:paraId="0FCED3F4">
            <w:pPr>
              <w:pStyle w:val="69"/>
              <w:rPr>
                <w:rFonts w:ascii="仿宋_GB2312" w:eastAsia="仿宋_GB2312"/>
                <w:sz w:val="24"/>
                <w:szCs w:val="24"/>
                <w:lang w:eastAsia="zh-CN"/>
              </w:rPr>
            </w:pPr>
          </w:p>
        </w:tc>
      </w:tr>
      <w:tr w14:paraId="7760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2275BBE7">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6C147AFB">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79</w:t>
            </w:r>
            <w:r>
              <w:rPr>
                <w:rFonts w:hint="eastAsia" w:ascii="仿宋_GB2312" w:hAnsi="宋体" w:eastAsia="仿宋_GB2312" w:cs="宋体"/>
                <w:sz w:val="24"/>
                <w:lang w:eastAsia="en-US"/>
              </w:rPr>
              <w:t>~7</w:t>
            </w:r>
            <w:r>
              <w:rPr>
                <w:rFonts w:hint="eastAsia" w:ascii="仿宋_GB2312" w:hAnsi="宋体" w:eastAsia="仿宋_GB2312" w:cs="宋体"/>
                <w:sz w:val="24"/>
              </w:rPr>
              <w:t>0</w:t>
            </w:r>
            <w:r>
              <w:rPr>
                <w:rFonts w:hint="eastAsia" w:ascii="仿宋_GB2312" w:hAnsi="宋体" w:eastAsia="仿宋_GB2312" w:cs="宋体"/>
                <w:sz w:val="24"/>
                <w:lang w:eastAsia="en-US"/>
              </w:rPr>
              <w:t>(含</w:t>
            </w:r>
            <w:r>
              <w:rPr>
                <w:rFonts w:hint="eastAsia" w:ascii="仿宋_GB2312" w:hAnsi="宋体" w:eastAsia="仿宋_GB2312" w:cs="宋体"/>
                <w:sz w:val="24"/>
              </w:rPr>
              <w:t>70</w:t>
            </w:r>
            <w:r>
              <w:rPr>
                <w:rFonts w:hint="eastAsia" w:ascii="仿宋_GB2312" w:hAnsi="宋体" w:eastAsia="仿宋_GB2312" w:cs="宋体"/>
                <w:sz w:val="24"/>
                <w:lang w:eastAsia="en-US"/>
              </w:rPr>
              <w:t>)</w:t>
            </w:r>
          </w:p>
        </w:tc>
        <w:tc>
          <w:tcPr>
            <w:tcW w:w="1103" w:type="dxa"/>
            <w:vAlign w:val="center"/>
          </w:tcPr>
          <w:p w14:paraId="0B35D71C">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基本合格</w:t>
            </w:r>
          </w:p>
        </w:tc>
        <w:tc>
          <w:tcPr>
            <w:tcW w:w="3841" w:type="dxa"/>
          </w:tcPr>
          <w:p w14:paraId="15F8D1B4">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每扣1分扣除费用5000元计算</w:t>
            </w:r>
          </w:p>
        </w:tc>
        <w:tc>
          <w:tcPr>
            <w:tcW w:w="736" w:type="dxa"/>
            <w:vMerge w:val="continue"/>
          </w:tcPr>
          <w:p w14:paraId="29EFC74C">
            <w:pPr>
              <w:pStyle w:val="69"/>
              <w:rPr>
                <w:rFonts w:ascii="仿宋_GB2312" w:eastAsia="仿宋_GB2312"/>
                <w:sz w:val="24"/>
                <w:szCs w:val="24"/>
                <w:lang w:eastAsia="zh-CN"/>
              </w:rPr>
            </w:pPr>
          </w:p>
        </w:tc>
      </w:tr>
      <w:tr w14:paraId="746A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63421239">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0ABF398B">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69</w:t>
            </w:r>
            <w:r>
              <w:rPr>
                <w:rFonts w:hint="eastAsia" w:ascii="仿宋_GB2312" w:hAnsi="宋体" w:eastAsia="仿宋_GB2312" w:cs="宋体"/>
                <w:sz w:val="24"/>
                <w:lang w:eastAsia="en-US"/>
              </w:rPr>
              <w:t>-</w:t>
            </w:r>
            <w:r>
              <w:rPr>
                <w:rFonts w:hint="eastAsia" w:ascii="仿宋_GB2312" w:hAnsi="宋体" w:eastAsia="仿宋_GB2312" w:cs="宋体"/>
                <w:sz w:val="24"/>
              </w:rPr>
              <w:t>60</w:t>
            </w:r>
            <w:r>
              <w:rPr>
                <w:rFonts w:hint="eastAsia" w:ascii="仿宋_GB2312" w:hAnsi="宋体" w:eastAsia="仿宋_GB2312" w:cs="宋体"/>
                <w:sz w:val="24"/>
                <w:lang w:eastAsia="en-US"/>
              </w:rPr>
              <w:t>(含</w:t>
            </w:r>
            <w:r>
              <w:rPr>
                <w:rFonts w:hint="eastAsia" w:ascii="仿宋_GB2312" w:hAnsi="宋体" w:eastAsia="仿宋_GB2312" w:cs="宋体"/>
                <w:sz w:val="24"/>
              </w:rPr>
              <w:t>6</w:t>
            </w:r>
            <w:r>
              <w:rPr>
                <w:rFonts w:hint="eastAsia" w:ascii="仿宋_GB2312" w:hAnsi="宋体" w:eastAsia="仿宋_GB2312" w:cs="宋体"/>
                <w:sz w:val="24"/>
                <w:lang w:eastAsia="en-US"/>
              </w:rPr>
              <w:t>0)</w:t>
            </w:r>
          </w:p>
        </w:tc>
        <w:tc>
          <w:tcPr>
            <w:tcW w:w="1103" w:type="dxa"/>
            <w:vAlign w:val="center"/>
          </w:tcPr>
          <w:p w14:paraId="49D5C8F2">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不合格</w:t>
            </w:r>
          </w:p>
        </w:tc>
        <w:tc>
          <w:tcPr>
            <w:tcW w:w="3841" w:type="dxa"/>
          </w:tcPr>
          <w:p w14:paraId="1BCE6885">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每扣1分扣除费用10000元计算</w:t>
            </w:r>
          </w:p>
        </w:tc>
        <w:tc>
          <w:tcPr>
            <w:tcW w:w="736" w:type="dxa"/>
            <w:vMerge w:val="continue"/>
          </w:tcPr>
          <w:p w14:paraId="278E920E">
            <w:pPr>
              <w:pStyle w:val="69"/>
              <w:rPr>
                <w:rFonts w:ascii="仿宋_GB2312" w:eastAsia="仿宋_GB2312"/>
                <w:sz w:val="24"/>
                <w:szCs w:val="24"/>
                <w:lang w:eastAsia="zh-CN"/>
              </w:rPr>
            </w:pPr>
          </w:p>
        </w:tc>
      </w:tr>
      <w:tr w14:paraId="3B29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jc w:val="center"/>
        </w:trPr>
        <w:tc>
          <w:tcPr>
            <w:tcW w:w="762" w:type="dxa"/>
            <w:vAlign w:val="center"/>
          </w:tcPr>
          <w:p w14:paraId="041C6AB9">
            <w:pPr>
              <w:pStyle w:val="46"/>
              <w:numPr>
                <w:ilvl w:val="0"/>
                <w:numId w:val="7"/>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78D56C58">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w:t>
            </w:r>
            <w:r>
              <w:rPr>
                <w:rFonts w:hint="eastAsia" w:ascii="仿宋_GB2312" w:hAnsi="宋体" w:eastAsia="仿宋_GB2312" w:cs="宋体"/>
                <w:sz w:val="24"/>
                <w:lang w:eastAsia="en-US"/>
              </w:rPr>
              <w:t>0以下</w:t>
            </w:r>
          </w:p>
        </w:tc>
        <w:tc>
          <w:tcPr>
            <w:tcW w:w="1103" w:type="dxa"/>
            <w:vAlign w:val="center"/>
          </w:tcPr>
          <w:p w14:paraId="030C087C">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差</w:t>
            </w:r>
          </w:p>
        </w:tc>
        <w:tc>
          <w:tcPr>
            <w:tcW w:w="3841" w:type="dxa"/>
          </w:tcPr>
          <w:p w14:paraId="346B2657">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给予运营企业</w:t>
            </w:r>
            <w:r>
              <w:rPr>
                <w:rFonts w:hint="eastAsia" w:ascii="仿宋_GB2312" w:hAnsi="宋体" w:eastAsia="仿宋_GB2312" w:cs="宋体"/>
                <w:sz w:val="24"/>
                <w:lang w:val="en-US" w:eastAsia="zh-CN"/>
              </w:rPr>
              <w:t>书面限期整改通知</w:t>
            </w:r>
            <w:r>
              <w:rPr>
                <w:rFonts w:hint="eastAsia" w:ascii="仿宋_GB2312" w:hAnsi="宋体" w:eastAsia="仿宋_GB2312" w:cs="宋体"/>
                <w:sz w:val="24"/>
              </w:rPr>
              <w:t>，督促乙方于15日内进行整改，如到期后仍未合格，甲方可不予拨付服务费，并扣除当期服务费及履约保证金，且</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c>
          <w:tcPr>
            <w:tcW w:w="736" w:type="dxa"/>
          </w:tcPr>
          <w:p w14:paraId="698F066F">
            <w:pPr>
              <w:pStyle w:val="69"/>
              <w:rPr>
                <w:rFonts w:ascii="仿宋_GB2312" w:eastAsia="仿宋_GB2312"/>
                <w:sz w:val="24"/>
                <w:szCs w:val="24"/>
                <w:lang w:eastAsia="zh-CN"/>
              </w:rPr>
            </w:pPr>
          </w:p>
        </w:tc>
      </w:tr>
      <w:tr w14:paraId="353A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762" w:type="dxa"/>
            <w:vAlign w:val="center"/>
          </w:tcPr>
          <w:p w14:paraId="6EA88F60">
            <w:pPr>
              <w:pStyle w:val="46"/>
              <w:numPr>
                <w:ilvl w:val="0"/>
                <w:numId w:val="7"/>
              </w:numPr>
              <w:spacing w:line="240" w:lineRule="auto"/>
              <w:ind w:left="0" w:firstLine="0" w:firstLineChars="0"/>
              <w:jc w:val="center"/>
              <w:rPr>
                <w:rFonts w:ascii="仿宋_GB2312" w:eastAsia="仿宋_GB2312"/>
                <w:sz w:val="24"/>
              </w:rPr>
            </w:pPr>
          </w:p>
        </w:tc>
        <w:tc>
          <w:tcPr>
            <w:tcW w:w="7608" w:type="dxa"/>
            <w:gridSpan w:val="4"/>
            <w:vAlign w:val="center"/>
          </w:tcPr>
          <w:p w14:paraId="4BE80BA5">
            <w:pPr>
              <w:spacing w:line="240" w:lineRule="auto"/>
              <w:rPr>
                <w:rFonts w:ascii="仿宋_GB2312" w:eastAsia="仿宋_GB2312"/>
                <w:sz w:val="24"/>
              </w:rPr>
            </w:pPr>
            <w:r>
              <w:rPr>
                <w:rFonts w:hint="eastAsia" w:ascii="仿宋_GB2312" w:hAnsi="宋体" w:eastAsia="仿宋_GB2312" w:cs="宋体"/>
                <w:sz w:val="24"/>
              </w:rPr>
              <w:t>当乙方连续3个月考评得分低于69分(不含)时，</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r>
    </w:tbl>
    <w:p w14:paraId="2F261E34">
      <w:pPr>
        <w:pStyle w:val="5"/>
        <w:ind w:firstLine="560"/>
        <w:rPr>
          <w:rFonts w:hint="eastAsia"/>
        </w:rPr>
      </w:pPr>
      <w:r>
        <w:rPr>
          <w:rFonts w:hint="eastAsia"/>
          <w:shd w:val="clear" w:color="auto" w:fill="FFFFFF"/>
        </w:rPr>
        <w:t>2.合同协议签订后，初期试运行三个月为过渡期，考核不扣款。</w:t>
      </w:r>
    </w:p>
    <w:p w14:paraId="42662CEE">
      <w:pPr>
        <w:pStyle w:val="5"/>
        <w:ind w:firstLine="560"/>
        <w:rPr>
          <w:rFonts w:hint="eastAsia"/>
          <w:shd w:val="clear" w:color="auto" w:fill="FFFFFF"/>
        </w:rPr>
        <w:sectPr>
          <w:pgSz w:w="11906" w:h="16838"/>
          <w:pgMar w:top="1440" w:right="1797" w:bottom="1440" w:left="1797" w:header="851" w:footer="992" w:gutter="0"/>
          <w:cols w:space="425" w:num="1"/>
          <w:docGrid w:linePitch="381" w:charSpace="0"/>
        </w:sectPr>
      </w:pPr>
      <w:r>
        <w:rPr>
          <w:rFonts w:hint="eastAsia"/>
          <w:shd w:val="clear" w:color="auto" w:fill="FFFFFF"/>
        </w:rPr>
        <w:t>3.一个完整年度累计三个月考核不合格或服务服务期间连续三个月考核不合格的，服务企业</w:t>
      </w:r>
      <w:r>
        <w:rPr>
          <w:rFonts w:hint="eastAsia"/>
          <w:shd w:val="clear" w:color="auto" w:fill="FFFFFF"/>
          <w:lang w:eastAsia="zh-CN"/>
        </w:rPr>
        <w:t>按照合同约定的交接程序有序退出</w:t>
      </w:r>
      <w:r>
        <w:rPr>
          <w:rFonts w:hint="eastAsia"/>
          <w:shd w:val="clear" w:color="auto" w:fill="FFFFFF"/>
        </w:rPr>
        <w:t>。</w:t>
      </w:r>
    </w:p>
    <w:p w14:paraId="3DD6B216">
      <w:pPr>
        <w:pStyle w:val="5"/>
        <w:ind w:firstLine="0" w:firstLineChars="0"/>
        <w:jc w:val="center"/>
        <w:rPr>
          <w:rFonts w:hint="eastAsia"/>
          <w:b/>
          <w:bCs/>
        </w:rPr>
      </w:pPr>
      <w:r>
        <w:rPr>
          <w:rFonts w:hint="eastAsia"/>
          <w:b/>
          <w:bCs/>
        </w:rPr>
        <w:t>托里县环境卫生管理考评内容及评分细则</w:t>
      </w:r>
    </w:p>
    <w:p w14:paraId="5EF95937">
      <w:pPr>
        <w:pStyle w:val="5"/>
        <w:spacing w:line="240" w:lineRule="auto"/>
        <w:ind w:firstLine="0" w:firstLineChars="0"/>
        <w:jc w:val="left"/>
        <w:rPr>
          <w:rFonts w:hint="eastAsia"/>
        </w:rPr>
      </w:pPr>
      <w:r>
        <w:rPr>
          <w:rFonts w:hint="eastAsia"/>
        </w:rPr>
        <w:t>被考评单位：                           年  日   月</w:t>
      </w:r>
    </w:p>
    <w:tbl>
      <w:tblPr>
        <w:tblStyle w:val="31"/>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806"/>
        <w:gridCol w:w="2468"/>
        <w:gridCol w:w="560"/>
        <w:gridCol w:w="2462"/>
        <w:gridCol w:w="695"/>
        <w:gridCol w:w="883"/>
      </w:tblGrid>
      <w:tr w14:paraId="7D2C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Align w:val="center"/>
          </w:tcPr>
          <w:p w14:paraId="5C7C9643">
            <w:pPr>
              <w:pStyle w:val="5"/>
              <w:spacing w:line="240" w:lineRule="auto"/>
              <w:ind w:firstLine="0" w:firstLineChars="0"/>
              <w:jc w:val="center"/>
              <w:rPr>
                <w:rFonts w:hint="eastAsia"/>
                <w:b/>
                <w:bCs/>
                <w:sz w:val="21"/>
                <w:szCs w:val="21"/>
              </w:rPr>
            </w:pPr>
            <w:r>
              <w:rPr>
                <w:rFonts w:hint="eastAsia"/>
                <w:b/>
                <w:bCs/>
                <w:sz w:val="21"/>
                <w:szCs w:val="21"/>
              </w:rPr>
              <w:t>序号</w:t>
            </w:r>
          </w:p>
        </w:tc>
        <w:tc>
          <w:tcPr>
            <w:tcW w:w="806" w:type="dxa"/>
            <w:vAlign w:val="center"/>
          </w:tcPr>
          <w:p w14:paraId="3D764AD1">
            <w:pPr>
              <w:pStyle w:val="5"/>
              <w:spacing w:line="240" w:lineRule="auto"/>
              <w:ind w:firstLine="0" w:firstLineChars="0"/>
              <w:jc w:val="center"/>
              <w:rPr>
                <w:rFonts w:hint="eastAsia"/>
                <w:b/>
                <w:bCs/>
                <w:sz w:val="21"/>
                <w:szCs w:val="21"/>
              </w:rPr>
            </w:pPr>
            <w:r>
              <w:rPr>
                <w:rFonts w:hint="eastAsia"/>
                <w:b/>
                <w:bCs/>
                <w:sz w:val="21"/>
                <w:szCs w:val="21"/>
              </w:rPr>
              <w:t>考评项目</w:t>
            </w:r>
          </w:p>
        </w:tc>
        <w:tc>
          <w:tcPr>
            <w:tcW w:w="2468" w:type="dxa"/>
            <w:vAlign w:val="center"/>
          </w:tcPr>
          <w:p w14:paraId="535B8864">
            <w:pPr>
              <w:pStyle w:val="5"/>
              <w:spacing w:line="240" w:lineRule="auto"/>
              <w:ind w:firstLine="0" w:firstLineChars="0"/>
              <w:jc w:val="center"/>
              <w:rPr>
                <w:rFonts w:hint="eastAsia"/>
                <w:b/>
                <w:bCs/>
                <w:sz w:val="21"/>
                <w:szCs w:val="21"/>
              </w:rPr>
            </w:pPr>
            <w:r>
              <w:rPr>
                <w:rFonts w:hint="eastAsia"/>
                <w:b/>
                <w:bCs/>
                <w:sz w:val="21"/>
                <w:szCs w:val="21"/>
              </w:rPr>
              <w:t>考评内容及标准</w:t>
            </w:r>
          </w:p>
        </w:tc>
        <w:tc>
          <w:tcPr>
            <w:tcW w:w="560" w:type="dxa"/>
            <w:vAlign w:val="center"/>
          </w:tcPr>
          <w:p w14:paraId="74E72731">
            <w:pPr>
              <w:pStyle w:val="5"/>
              <w:spacing w:line="240" w:lineRule="auto"/>
              <w:ind w:firstLine="0" w:firstLineChars="0"/>
              <w:jc w:val="center"/>
              <w:rPr>
                <w:rFonts w:hint="eastAsia"/>
                <w:b/>
                <w:bCs/>
                <w:sz w:val="21"/>
                <w:szCs w:val="21"/>
              </w:rPr>
            </w:pPr>
            <w:r>
              <w:rPr>
                <w:rFonts w:hint="eastAsia"/>
                <w:b/>
                <w:bCs/>
                <w:sz w:val="21"/>
                <w:szCs w:val="21"/>
              </w:rPr>
              <w:t>分值</w:t>
            </w:r>
          </w:p>
        </w:tc>
        <w:tc>
          <w:tcPr>
            <w:tcW w:w="2462" w:type="dxa"/>
            <w:vAlign w:val="center"/>
          </w:tcPr>
          <w:p w14:paraId="0EA565FE">
            <w:pPr>
              <w:pStyle w:val="5"/>
              <w:spacing w:line="240" w:lineRule="auto"/>
              <w:ind w:firstLine="0" w:firstLineChars="0"/>
              <w:jc w:val="center"/>
              <w:rPr>
                <w:rFonts w:hint="eastAsia"/>
                <w:b/>
                <w:bCs/>
                <w:sz w:val="21"/>
                <w:szCs w:val="21"/>
              </w:rPr>
            </w:pPr>
            <w:r>
              <w:rPr>
                <w:rFonts w:hint="eastAsia"/>
                <w:b/>
                <w:bCs/>
                <w:sz w:val="21"/>
                <w:szCs w:val="21"/>
              </w:rPr>
              <w:t>得扣分方法</w:t>
            </w:r>
          </w:p>
        </w:tc>
        <w:tc>
          <w:tcPr>
            <w:tcW w:w="695" w:type="dxa"/>
            <w:vAlign w:val="center"/>
          </w:tcPr>
          <w:p w14:paraId="5A1EEFB6">
            <w:pPr>
              <w:pStyle w:val="5"/>
              <w:spacing w:line="240" w:lineRule="auto"/>
              <w:ind w:firstLine="0" w:firstLineChars="0"/>
              <w:jc w:val="center"/>
              <w:rPr>
                <w:rFonts w:hint="eastAsia"/>
                <w:b/>
                <w:bCs/>
                <w:sz w:val="21"/>
                <w:szCs w:val="21"/>
              </w:rPr>
            </w:pPr>
            <w:r>
              <w:rPr>
                <w:rFonts w:hint="eastAsia"/>
                <w:b/>
                <w:bCs/>
                <w:sz w:val="21"/>
                <w:szCs w:val="21"/>
              </w:rPr>
              <w:t>考评得分</w:t>
            </w:r>
          </w:p>
        </w:tc>
        <w:tc>
          <w:tcPr>
            <w:tcW w:w="883" w:type="dxa"/>
            <w:vAlign w:val="center"/>
          </w:tcPr>
          <w:p w14:paraId="1DC3B0E4">
            <w:pPr>
              <w:pStyle w:val="5"/>
              <w:spacing w:line="240" w:lineRule="auto"/>
              <w:ind w:firstLine="0" w:firstLineChars="0"/>
              <w:jc w:val="center"/>
              <w:rPr>
                <w:rFonts w:hint="eastAsia"/>
                <w:b/>
                <w:bCs/>
                <w:sz w:val="21"/>
                <w:szCs w:val="21"/>
              </w:rPr>
            </w:pPr>
            <w:r>
              <w:rPr>
                <w:rFonts w:hint="eastAsia"/>
                <w:b/>
                <w:bCs/>
                <w:sz w:val="21"/>
                <w:szCs w:val="21"/>
              </w:rPr>
              <w:t>备注</w:t>
            </w:r>
          </w:p>
        </w:tc>
      </w:tr>
      <w:tr w14:paraId="40C6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64093E65">
            <w:pPr>
              <w:pStyle w:val="5"/>
              <w:spacing w:line="240" w:lineRule="auto"/>
              <w:ind w:firstLine="0" w:firstLineChars="0"/>
              <w:jc w:val="center"/>
              <w:rPr>
                <w:rFonts w:hint="eastAsia"/>
                <w:sz w:val="21"/>
                <w:szCs w:val="21"/>
              </w:rPr>
            </w:pPr>
            <w:r>
              <w:rPr>
                <w:rFonts w:hint="eastAsia"/>
                <w:sz w:val="21"/>
                <w:szCs w:val="21"/>
              </w:rPr>
              <w:t>1</w:t>
            </w:r>
          </w:p>
        </w:tc>
        <w:tc>
          <w:tcPr>
            <w:tcW w:w="806" w:type="dxa"/>
            <w:vMerge w:val="restart"/>
            <w:vAlign w:val="center"/>
          </w:tcPr>
          <w:p w14:paraId="61386370">
            <w:pPr>
              <w:pStyle w:val="5"/>
              <w:spacing w:line="240" w:lineRule="auto"/>
              <w:ind w:firstLine="0" w:firstLineChars="0"/>
              <w:jc w:val="center"/>
              <w:rPr>
                <w:rFonts w:hint="eastAsia"/>
                <w:sz w:val="21"/>
                <w:szCs w:val="21"/>
              </w:rPr>
            </w:pPr>
            <w:r>
              <w:rPr>
                <w:rFonts w:hint="eastAsia"/>
                <w:sz w:val="21"/>
                <w:szCs w:val="21"/>
              </w:rPr>
              <w:t>清扫保洁时间（15分）</w:t>
            </w:r>
          </w:p>
        </w:tc>
        <w:tc>
          <w:tcPr>
            <w:tcW w:w="2468" w:type="dxa"/>
            <w:vAlign w:val="center"/>
          </w:tcPr>
          <w:p w14:paraId="6937D4DC">
            <w:pPr>
              <w:pStyle w:val="5"/>
              <w:spacing w:line="240" w:lineRule="auto"/>
              <w:ind w:firstLine="0" w:firstLineChars="0"/>
              <w:rPr>
                <w:rFonts w:hint="eastAsia"/>
                <w:sz w:val="21"/>
                <w:szCs w:val="21"/>
              </w:rPr>
            </w:pPr>
            <w:r>
              <w:rPr>
                <w:rFonts w:hint="eastAsia"/>
                <w:sz w:val="21"/>
                <w:szCs w:val="21"/>
              </w:rPr>
              <w:t>1.大清扫4-10月早上8：30完成，11-3月9：30前完成。</w:t>
            </w:r>
          </w:p>
        </w:tc>
        <w:tc>
          <w:tcPr>
            <w:tcW w:w="560" w:type="dxa"/>
            <w:vAlign w:val="center"/>
          </w:tcPr>
          <w:p w14:paraId="5DA421C5">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4DE0C5E5">
            <w:pPr>
              <w:pStyle w:val="5"/>
              <w:spacing w:line="240" w:lineRule="auto"/>
              <w:ind w:firstLine="0" w:firstLineChars="0"/>
              <w:rPr>
                <w:rFonts w:hint="eastAsia"/>
                <w:sz w:val="21"/>
                <w:szCs w:val="21"/>
              </w:rPr>
            </w:pPr>
            <w:r>
              <w:rPr>
                <w:rFonts w:hint="eastAsia"/>
                <w:sz w:val="21"/>
                <w:szCs w:val="21"/>
              </w:rPr>
              <w:t>未按规定完成大清扫的，每次每条街扣1分。扣完该项分值为止。</w:t>
            </w:r>
          </w:p>
        </w:tc>
        <w:tc>
          <w:tcPr>
            <w:tcW w:w="695" w:type="dxa"/>
          </w:tcPr>
          <w:p w14:paraId="58C6852F">
            <w:pPr>
              <w:pStyle w:val="5"/>
              <w:spacing w:line="240" w:lineRule="auto"/>
              <w:ind w:firstLine="0" w:firstLineChars="0"/>
              <w:rPr>
                <w:rFonts w:hint="eastAsia"/>
                <w:sz w:val="21"/>
                <w:szCs w:val="21"/>
              </w:rPr>
            </w:pPr>
          </w:p>
        </w:tc>
        <w:tc>
          <w:tcPr>
            <w:tcW w:w="883" w:type="dxa"/>
          </w:tcPr>
          <w:p w14:paraId="60E9A57B">
            <w:pPr>
              <w:pStyle w:val="5"/>
              <w:spacing w:line="240" w:lineRule="auto"/>
              <w:ind w:firstLine="0" w:firstLineChars="0"/>
              <w:rPr>
                <w:rFonts w:hint="eastAsia"/>
                <w:sz w:val="21"/>
                <w:szCs w:val="21"/>
              </w:rPr>
            </w:pPr>
          </w:p>
        </w:tc>
      </w:tr>
      <w:tr w14:paraId="5167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74F7AABE">
            <w:pPr>
              <w:pStyle w:val="5"/>
              <w:spacing w:line="240" w:lineRule="auto"/>
              <w:ind w:firstLine="0" w:firstLineChars="0"/>
              <w:jc w:val="center"/>
              <w:rPr>
                <w:rFonts w:hint="eastAsia"/>
                <w:sz w:val="21"/>
                <w:szCs w:val="21"/>
              </w:rPr>
            </w:pPr>
          </w:p>
        </w:tc>
        <w:tc>
          <w:tcPr>
            <w:tcW w:w="806" w:type="dxa"/>
            <w:vMerge w:val="continue"/>
            <w:vAlign w:val="center"/>
          </w:tcPr>
          <w:p w14:paraId="13136DC1">
            <w:pPr>
              <w:pStyle w:val="5"/>
              <w:spacing w:line="240" w:lineRule="auto"/>
              <w:ind w:firstLine="0" w:firstLineChars="0"/>
              <w:jc w:val="center"/>
              <w:rPr>
                <w:rFonts w:hint="eastAsia"/>
                <w:sz w:val="21"/>
                <w:szCs w:val="21"/>
              </w:rPr>
            </w:pPr>
          </w:p>
        </w:tc>
        <w:tc>
          <w:tcPr>
            <w:tcW w:w="2468" w:type="dxa"/>
            <w:vAlign w:val="center"/>
          </w:tcPr>
          <w:p w14:paraId="12C67B6E">
            <w:pPr>
              <w:pStyle w:val="5"/>
              <w:spacing w:line="240" w:lineRule="auto"/>
              <w:ind w:firstLine="0" w:firstLineChars="0"/>
              <w:rPr>
                <w:rFonts w:hint="eastAsia"/>
                <w:sz w:val="21"/>
                <w:szCs w:val="21"/>
              </w:rPr>
            </w:pPr>
            <w:r>
              <w:rPr>
                <w:rFonts w:hint="eastAsia"/>
                <w:sz w:val="21"/>
                <w:szCs w:val="21"/>
              </w:rPr>
              <w:t>2.重点道路、公园16小时保洁，其他道路12小时保洁；重点道路、公园路面垃圾（废弃物）停留时间不超过20分钟，其他道路路面垃圾（废弃物）停留时间不超过30分钟，保持路面干净整洁。</w:t>
            </w:r>
          </w:p>
        </w:tc>
        <w:tc>
          <w:tcPr>
            <w:tcW w:w="560" w:type="dxa"/>
            <w:vAlign w:val="center"/>
          </w:tcPr>
          <w:p w14:paraId="7ACDEC7F">
            <w:pPr>
              <w:pStyle w:val="5"/>
              <w:spacing w:line="240" w:lineRule="auto"/>
              <w:ind w:firstLine="0" w:firstLineChars="0"/>
              <w:jc w:val="center"/>
              <w:rPr>
                <w:rFonts w:hint="eastAsia"/>
                <w:sz w:val="21"/>
                <w:szCs w:val="21"/>
              </w:rPr>
            </w:pPr>
            <w:r>
              <w:rPr>
                <w:rFonts w:hint="eastAsia"/>
                <w:sz w:val="21"/>
                <w:szCs w:val="21"/>
              </w:rPr>
              <w:t>10</w:t>
            </w:r>
          </w:p>
        </w:tc>
        <w:tc>
          <w:tcPr>
            <w:tcW w:w="2462" w:type="dxa"/>
            <w:vAlign w:val="center"/>
          </w:tcPr>
          <w:p w14:paraId="3E8E9712">
            <w:pPr>
              <w:pStyle w:val="5"/>
              <w:spacing w:line="240" w:lineRule="auto"/>
              <w:ind w:firstLine="0" w:firstLineChars="0"/>
              <w:rPr>
                <w:rFonts w:hint="eastAsia"/>
                <w:sz w:val="21"/>
                <w:szCs w:val="21"/>
              </w:rPr>
            </w:pPr>
            <w:r>
              <w:rPr>
                <w:rFonts w:hint="eastAsia"/>
                <w:sz w:val="21"/>
                <w:szCs w:val="21"/>
              </w:rPr>
              <w:t>现不达标，每处扣0.5分。扣完该项分值为止。</w:t>
            </w:r>
          </w:p>
        </w:tc>
        <w:tc>
          <w:tcPr>
            <w:tcW w:w="695" w:type="dxa"/>
          </w:tcPr>
          <w:p w14:paraId="105718F1">
            <w:pPr>
              <w:pStyle w:val="5"/>
              <w:spacing w:line="240" w:lineRule="auto"/>
              <w:ind w:firstLine="0" w:firstLineChars="0"/>
              <w:rPr>
                <w:rFonts w:hint="eastAsia"/>
                <w:sz w:val="21"/>
                <w:szCs w:val="21"/>
              </w:rPr>
            </w:pPr>
          </w:p>
        </w:tc>
        <w:tc>
          <w:tcPr>
            <w:tcW w:w="883" w:type="dxa"/>
          </w:tcPr>
          <w:p w14:paraId="3777759D">
            <w:pPr>
              <w:pStyle w:val="5"/>
              <w:spacing w:line="240" w:lineRule="auto"/>
              <w:ind w:firstLine="0" w:firstLineChars="0"/>
              <w:rPr>
                <w:rFonts w:hint="eastAsia"/>
                <w:sz w:val="21"/>
                <w:szCs w:val="21"/>
              </w:rPr>
            </w:pPr>
          </w:p>
        </w:tc>
      </w:tr>
      <w:tr w14:paraId="75BA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2A17E496">
            <w:pPr>
              <w:pStyle w:val="5"/>
              <w:spacing w:line="240" w:lineRule="auto"/>
              <w:ind w:firstLine="0" w:firstLineChars="0"/>
              <w:jc w:val="center"/>
              <w:rPr>
                <w:rFonts w:hint="eastAsia"/>
                <w:sz w:val="21"/>
                <w:szCs w:val="21"/>
              </w:rPr>
            </w:pPr>
            <w:r>
              <w:rPr>
                <w:rFonts w:hint="eastAsia"/>
                <w:sz w:val="21"/>
                <w:szCs w:val="21"/>
              </w:rPr>
              <w:t>2</w:t>
            </w:r>
          </w:p>
        </w:tc>
        <w:tc>
          <w:tcPr>
            <w:tcW w:w="806" w:type="dxa"/>
            <w:vMerge w:val="restart"/>
            <w:vAlign w:val="center"/>
          </w:tcPr>
          <w:p w14:paraId="29E7A900">
            <w:pPr>
              <w:pStyle w:val="5"/>
              <w:spacing w:line="240" w:lineRule="auto"/>
              <w:ind w:firstLine="0" w:firstLineChars="0"/>
              <w:jc w:val="center"/>
              <w:rPr>
                <w:rFonts w:hint="eastAsia"/>
                <w:sz w:val="21"/>
                <w:szCs w:val="21"/>
              </w:rPr>
            </w:pPr>
            <w:r>
              <w:rPr>
                <w:rFonts w:hint="eastAsia"/>
                <w:sz w:val="21"/>
                <w:szCs w:val="21"/>
              </w:rPr>
              <w:t>道路清扫保洁（30分）</w:t>
            </w:r>
          </w:p>
        </w:tc>
        <w:tc>
          <w:tcPr>
            <w:tcW w:w="2468" w:type="dxa"/>
            <w:vAlign w:val="center"/>
          </w:tcPr>
          <w:p w14:paraId="78780668">
            <w:pPr>
              <w:pStyle w:val="5"/>
              <w:spacing w:line="240" w:lineRule="auto"/>
              <w:ind w:firstLine="0" w:firstLineChars="0"/>
              <w:rPr>
                <w:rFonts w:hint="eastAsia"/>
                <w:sz w:val="21"/>
                <w:szCs w:val="21"/>
              </w:rPr>
            </w:pPr>
            <w:r>
              <w:rPr>
                <w:rFonts w:hint="eastAsia"/>
                <w:sz w:val="21"/>
                <w:szCs w:val="21"/>
              </w:rPr>
              <w:t>1.</w:t>
            </w:r>
            <w:bookmarkStart w:id="73" w:name="OLE_LINK45"/>
            <w:r>
              <w:rPr>
                <w:rFonts w:hint="eastAsia"/>
                <w:sz w:val="21"/>
                <w:szCs w:val="21"/>
              </w:rPr>
              <w:t>重点道路、公园道路</w:t>
            </w:r>
            <w:bookmarkEnd w:id="73"/>
            <w:r>
              <w:rPr>
                <w:rFonts w:hint="eastAsia"/>
                <w:sz w:val="21"/>
                <w:szCs w:val="21"/>
              </w:rPr>
              <w:t>路面垃圾停留时间不超过20分钟；其他道路，垃圾停留时间不超过30分钟。路面废弃物控制指标1000平方米应符合规定。</w:t>
            </w:r>
          </w:p>
        </w:tc>
        <w:tc>
          <w:tcPr>
            <w:tcW w:w="560" w:type="dxa"/>
            <w:vAlign w:val="center"/>
          </w:tcPr>
          <w:p w14:paraId="0BA679A7">
            <w:pPr>
              <w:pStyle w:val="5"/>
              <w:spacing w:line="240" w:lineRule="auto"/>
              <w:ind w:firstLine="0" w:firstLineChars="0"/>
              <w:jc w:val="center"/>
              <w:rPr>
                <w:rFonts w:hint="eastAsia"/>
                <w:sz w:val="21"/>
                <w:szCs w:val="21"/>
              </w:rPr>
            </w:pPr>
            <w:r>
              <w:rPr>
                <w:rFonts w:hint="eastAsia"/>
                <w:sz w:val="21"/>
                <w:szCs w:val="21"/>
              </w:rPr>
              <w:t>22</w:t>
            </w:r>
          </w:p>
        </w:tc>
        <w:tc>
          <w:tcPr>
            <w:tcW w:w="2462" w:type="dxa"/>
            <w:vAlign w:val="center"/>
          </w:tcPr>
          <w:p w14:paraId="321DF5C5">
            <w:pPr>
              <w:pStyle w:val="5"/>
              <w:spacing w:line="240" w:lineRule="auto"/>
              <w:ind w:firstLine="0" w:firstLineChars="0"/>
              <w:rPr>
                <w:rFonts w:hint="eastAsia"/>
                <w:sz w:val="21"/>
                <w:szCs w:val="21"/>
              </w:rPr>
            </w:pPr>
            <w:r>
              <w:rPr>
                <w:rFonts w:hint="eastAsia"/>
                <w:sz w:val="21"/>
                <w:szCs w:val="21"/>
              </w:rPr>
              <w:t>重点道路、公园道路道路每次分别抽检不少于3条街道，每条道路随机抽检不少于2处。发现不达标，每处每多一个扣0.2分。</w:t>
            </w:r>
          </w:p>
          <w:p w14:paraId="2377D069">
            <w:pPr>
              <w:pStyle w:val="5"/>
              <w:spacing w:line="240" w:lineRule="auto"/>
              <w:ind w:firstLine="0" w:firstLineChars="0"/>
              <w:rPr>
                <w:rFonts w:hint="eastAsia"/>
                <w:sz w:val="21"/>
                <w:szCs w:val="21"/>
              </w:rPr>
            </w:pPr>
            <w:r>
              <w:rPr>
                <w:rFonts w:hint="eastAsia"/>
                <w:sz w:val="21"/>
                <w:szCs w:val="21"/>
              </w:rPr>
              <w:t>3.路面积水（下雨天除外）或油渍小于1平方米每处扣0.5分，大于1平方米每处扣1分。扣完该项分值22分为止。</w:t>
            </w:r>
          </w:p>
        </w:tc>
        <w:tc>
          <w:tcPr>
            <w:tcW w:w="695" w:type="dxa"/>
          </w:tcPr>
          <w:p w14:paraId="01931DB9">
            <w:pPr>
              <w:pStyle w:val="5"/>
              <w:spacing w:line="240" w:lineRule="auto"/>
              <w:ind w:firstLine="0" w:firstLineChars="0"/>
              <w:rPr>
                <w:rFonts w:hint="eastAsia"/>
                <w:sz w:val="21"/>
                <w:szCs w:val="21"/>
              </w:rPr>
            </w:pPr>
          </w:p>
        </w:tc>
        <w:tc>
          <w:tcPr>
            <w:tcW w:w="883" w:type="dxa"/>
          </w:tcPr>
          <w:p w14:paraId="69C831BF">
            <w:pPr>
              <w:pStyle w:val="5"/>
              <w:spacing w:line="240" w:lineRule="auto"/>
              <w:ind w:firstLine="0" w:firstLineChars="0"/>
              <w:rPr>
                <w:rFonts w:hint="eastAsia"/>
                <w:sz w:val="21"/>
                <w:szCs w:val="21"/>
              </w:rPr>
            </w:pPr>
          </w:p>
        </w:tc>
      </w:tr>
      <w:tr w14:paraId="344B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4F5FDE41">
            <w:pPr>
              <w:pStyle w:val="5"/>
              <w:spacing w:line="240" w:lineRule="auto"/>
              <w:ind w:firstLine="0" w:firstLineChars="0"/>
              <w:jc w:val="center"/>
              <w:rPr>
                <w:rFonts w:hint="eastAsia"/>
                <w:sz w:val="21"/>
                <w:szCs w:val="21"/>
              </w:rPr>
            </w:pPr>
          </w:p>
        </w:tc>
        <w:tc>
          <w:tcPr>
            <w:tcW w:w="806" w:type="dxa"/>
            <w:vMerge w:val="continue"/>
            <w:vAlign w:val="center"/>
          </w:tcPr>
          <w:p w14:paraId="62D5157F">
            <w:pPr>
              <w:pStyle w:val="5"/>
              <w:spacing w:line="240" w:lineRule="auto"/>
              <w:ind w:firstLine="0" w:firstLineChars="0"/>
              <w:jc w:val="center"/>
              <w:rPr>
                <w:rFonts w:hint="eastAsia"/>
                <w:sz w:val="21"/>
                <w:szCs w:val="21"/>
              </w:rPr>
            </w:pPr>
          </w:p>
        </w:tc>
        <w:tc>
          <w:tcPr>
            <w:tcW w:w="2468" w:type="dxa"/>
            <w:vAlign w:val="center"/>
          </w:tcPr>
          <w:p w14:paraId="74E36903">
            <w:pPr>
              <w:pStyle w:val="5"/>
              <w:spacing w:line="240" w:lineRule="auto"/>
              <w:ind w:firstLine="0" w:firstLineChars="0"/>
              <w:rPr>
                <w:rFonts w:hint="eastAsia"/>
                <w:sz w:val="21"/>
                <w:szCs w:val="21"/>
              </w:rPr>
            </w:pPr>
            <w:r>
              <w:rPr>
                <w:rFonts w:hint="eastAsia"/>
                <w:sz w:val="21"/>
                <w:szCs w:val="21"/>
              </w:rPr>
              <w:t>2.禁止将垃圾扫、倒入下水道或绿化带及树坑及花池内。</w:t>
            </w:r>
          </w:p>
        </w:tc>
        <w:tc>
          <w:tcPr>
            <w:tcW w:w="560" w:type="dxa"/>
            <w:vAlign w:val="center"/>
          </w:tcPr>
          <w:p w14:paraId="4F5025AE">
            <w:pPr>
              <w:pStyle w:val="5"/>
              <w:spacing w:line="240" w:lineRule="auto"/>
              <w:ind w:firstLine="0" w:firstLineChars="0"/>
              <w:jc w:val="center"/>
              <w:rPr>
                <w:rFonts w:hint="eastAsia"/>
                <w:sz w:val="21"/>
                <w:szCs w:val="21"/>
              </w:rPr>
            </w:pPr>
            <w:r>
              <w:rPr>
                <w:rFonts w:hint="eastAsia"/>
                <w:sz w:val="21"/>
                <w:szCs w:val="21"/>
              </w:rPr>
              <w:t>3</w:t>
            </w:r>
          </w:p>
        </w:tc>
        <w:tc>
          <w:tcPr>
            <w:tcW w:w="2462" w:type="dxa"/>
            <w:vAlign w:val="center"/>
          </w:tcPr>
          <w:p w14:paraId="4B661C48">
            <w:pPr>
              <w:pStyle w:val="5"/>
              <w:spacing w:line="240" w:lineRule="auto"/>
              <w:ind w:firstLine="0" w:firstLineChars="0"/>
              <w:rPr>
                <w:rFonts w:hint="eastAsia"/>
                <w:sz w:val="21"/>
                <w:szCs w:val="21"/>
              </w:rPr>
            </w:pPr>
            <w:r>
              <w:rPr>
                <w:rFonts w:hint="eastAsia"/>
                <w:sz w:val="21"/>
                <w:szCs w:val="21"/>
              </w:rPr>
              <w:t>发现1次扣1分。扣完该项分值为止。</w:t>
            </w:r>
          </w:p>
        </w:tc>
        <w:tc>
          <w:tcPr>
            <w:tcW w:w="695" w:type="dxa"/>
          </w:tcPr>
          <w:p w14:paraId="1A1100DE">
            <w:pPr>
              <w:pStyle w:val="5"/>
              <w:spacing w:line="240" w:lineRule="auto"/>
              <w:ind w:firstLine="0" w:firstLineChars="0"/>
              <w:rPr>
                <w:rFonts w:hint="eastAsia"/>
                <w:sz w:val="21"/>
                <w:szCs w:val="21"/>
              </w:rPr>
            </w:pPr>
          </w:p>
        </w:tc>
        <w:tc>
          <w:tcPr>
            <w:tcW w:w="883" w:type="dxa"/>
          </w:tcPr>
          <w:p w14:paraId="38711287">
            <w:pPr>
              <w:pStyle w:val="5"/>
              <w:spacing w:line="240" w:lineRule="auto"/>
              <w:ind w:firstLine="0" w:firstLineChars="0"/>
              <w:rPr>
                <w:rFonts w:hint="eastAsia"/>
                <w:sz w:val="21"/>
                <w:szCs w:val="21"/>
              </w:rPr>
            </w:pPr>
          </w:p>
        </w:tc>
      </w:tr>
      <w:tr w14:paraId="100D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6550BF6A">
            <w:pPr>
              <w:pStyle w:val="5"/>
              <w:spacing w:line="240" w:lineRule="auto"/>
              <w:ind w:firstLine="0" w:firstLineChars="0"/>
              <w:jc w:val="center"/>
              <w:rPr>
                <w:rFonts w:hint="eastAsia"/>
                <w:sz w:val="21"/>
                <w:szCs w:val="21"/>
              </w:rPr>
            </w:pPr>
          </w:p>
        </w:tc>
        <w:tc>
          <w:tcPr>
            <w:tcW w:w="806" w:type="dxa"/>
            <w:vMerge w:val="continue"/>
            <w:vAlign w:val="center"/>
          </w:tcPr>
          <w:p w14:paraId="2BD0495B">
            <w:pPr>
              <w:pStyle w:val="5"/>
              <w:spacing w:line="240" w:lineRule="auto"/>
              <w:ind w:firstLine="0" w:firstLineChars="0"/>
              <w:jc w:val="center"/>
              <w:rPr>
                <w:rFonts w:hint="eastAsia"/>
                <w:sz w:val="21"/>
                <w:szCs w:val="21"/>
              </w:rPr>
            </w:pPr>
          </w:p>
        </w:tc>
        <w:tc>
          <w:tcPr>
            <w:tcW w:w="2468" w:type="dxa"/>
            <w:vAlign w:val="center"/>
          </w:tcPr>
          <w:p w14:paraId="72908503">
            <w:pPr>
              <w:pStyle w:val="5"/>
              <w:spacing w:line="240" w:lineRule="auto"/>
              <w:ind w:firstLine="0" w:firstLineChars="0"/>
              <w:rPr>
                <w:rFonts w:hint="eastAsia"/>
                <w:sz w:val="21"/>
                <w:szCs w:val="21"/>
              </w:rPr>
            </w:pPr>
            <w:r>
              <w:rPr>
                <w:rFonts w:hint="eastAsia"/>
                <w:sz w:val="21"/>
                <w:szCs w:val="21"/>
              </w:rPr>
              <w:t>3.道路有少量渣土、沙石撒漏应及时清理。</w:t>
            </w:r>
          </w:p>
        </w:tc>
        <w:tc>
          <w:tcPr>
            <w:tcW w:w="560" w:type="dxa"/>
            <w:vAlign w:val="center"/>
          </w:tcPr>
          <w:p w14:paraId="1375E3CF">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240D0806">
            <w:pPr>
              <w:pStyle w:val="5"/>
              <w:spacing w:line="240" w:lineRule="auto"/>
              <w:ind w:firstLine="0" w:firstLineChars="0"/>
              <w:rPr>
                <w:rFonts w:hint="eastAsia"/>
                <w:sz w:val="21"/>
                <w:szCs w:val="21"/>
              </w:rPr>
            </w:pPr>
            <w:r>
              <w:rPr>
                <w:rFonts w:hint="eastAsia"/>
                <w:sz w:val="21"/>
                <w:szCs w:val="21"/>
              </w:rPr>
              <w:t>发现未及时清理（考评人员发现后30分分钟内到现场清理干净），每处扣0.5分。扣完该项分值为止。</w:t>
            </w:r>
          </w:p>
        </w:tc>
        <w:tc>
          <w:tcPr>
            <w:tcW w:w="695" w:type="dxa"/>
          </w:tcPr>
          <w:p w14:paraId="46CB864A">
            <w:pPr>
              <w:pStyle w:val="5"/>
              <w:spacing w:line="240" w:lineRule="auto"/>
              <w:ind w:firstLine="0" w:firstLineChars="0"/>
              <w:rPr>
                <w:rFonts w:hint="eastAsia"/>
                <w:sz w:val="21"/>
                <w:szCs w:val="21"/>
              </w:rPr>
            </w:pPr>
          </w:p>
        </w:tc>
        <w:tc>
          <w:tcPr>
            <w:tcW w:w="883" w:type="dxa"/>
          </w:tcPr>
          <w:p w14:paraId="2E79163E">
            <w:pPr>
              <w:pStyle w:val="5"/>
              <w:spacing w:line="240" w:lineRule="auto"/>
              <w:ind w:firstLine="0" w:firstLineChars="0"/>
              <w:rPr>
                <w:rFonts w:hint="eastAsia"/>
                <w:sz w:val="21"/>
                <w:szCs w:val="21"/>
              </w:rPr>
            </w:pPr>
          </w:p>
        </w:tc>
      </w:tr>
      <w:tr w14:paraId="59F6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6985BEE3">
            <w:pPr>
              <w:pStyle w:val="5"/>
              <w:spacing w:line="240" w:lineRule="auto"/>
              <w:ind w:firstLine="0" w:firstLineChars="0"/>
              <w:jc w:val="center"/>
              <w:rPr>
                <w:rFonts w:hint="eastAsia"/>
                <w:sz w:val="21"/>
                <w:szCs w:val="21"/>
              </w:rPr>
            </w:pPr>
            <w:r>
              <w:rPr>
                <w:rFonts w:hint="eastAsia"/>
                <w:sz w:val="21"/>
                <w:szCs w:val="21"/>
              </w:rPr>
              <w:t>3</w:t>
            </w:r>
          </w:p>
        </w:tc>
        <w:tc>
          <w:tcPr>
            <w:tcW w:w="806" w:type="dxa"/>
            <w:vMerge w:val="restart"/>
            <w:vAlign w:val="center"/>
          </w:tcPr>
          <w:p w14:paraId="39BBF6EC">
            <w:pPr>
              <w:pStyle w:val="5"/>
              <w:spacing w:line="240" w:lineRule="auto"/>
              <w:ind w:firstLine="0" w:firstLineChars="0"/>
              <w:jc w:val="center"/>
              <w:rPr>
                <w:rFonts w:hint="eastAsia"/>
                <w:sz w:val="21"/>
                <w:szCs w:val="21"/>
              </w:rPr>
            </w:pPr>
            <w:r>
              <w:rPr>
                <w:rFonts w:hint="eastAsia"/>
                <w:sz w:val="21"/>
                <w:szCs w:val="21"/>
              </w:rPr>
              <w:t>机械作业（20分）</w:t>
            </w:r>
          </w:p>
        </w:tc>
        <w:tc>
          <w:tcPr>
            <w:tcW w:w="2468" w:type="dxa"/>
            <w:vAlign w:val="center"/>
          </w:tcPr>
          <w:p w14:paraId="3A0AB476">
            <w:pPr>
              <w:pStyle w:val="5"/>
              <w:spacing w:line="240" w:lineRule="auto"/>
              <w:ind w:firstLine="0" w:firstLineChars="0"/>
              <w:rPr>
                <w:rFonts w:hint="eastAsia"/>
                <w:sz w:val="21"/>
                <w:szCs w:val="21"/>
              </w:rPr>
            </w:pPr>
            <w:r>
              <w:rPr>
                <w:rFonts w:hint="eastAsia"/>
                <w:sz w:val="21"/>
                <w:szCs w:val="21"/>
              </w:rPr>
              <w:t>1.机械化清扫率（机械清扫面积除以总清扫面积Ｘ100%）达80%以上。</w:t>
            </w:r>
          </w:p>
        </w:tc>
        <w:tc>
          <w:tcPr>
            <w:tcW w:w="560" w:type="dxa"/>
            <w:vAlign w:val="center"/>
          </w:tcPr>
          <w:p w14:paraId="7D1740A9">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55B0D53B">
            <w:pPr>
              <w:pStyle w:val="5"/>
              <w:spacing w:line="240" w:lineRule="auto"/>
              <w:ind w:firstLine="0" w:firstLineChars="0"/>
              <w:rPr>
                <w:rFonts w:hint="eastAsia"/>
                <w:sz w:val="21"/>
                <w:szCs w:val="21"/>
              </w:rPr>
            </w:pPr>
            <w:r>
              <w:rPr>
                <w:rFonts w:hint="eastAsia"/>
                <w:sz w:val="21"/>
                <w:szCs w:val="21"/>
              </w:rPr>
              <w:t>机械化清扫率达80%以上得5分，否则按比例得分。</w:t>
            </w:r>
          </w:p>
        </w:tc>
        <w:tc>
          <w:tcPr>
            <w:tcW w:w="695" w:type="dxa"/>
          </w:tcPr>
          <w:p w14:paraId="4A3EDAED">
            <w:pPr>
              <w:pStyle w:val="5"/>
              <w:spacing w:line="240" w:lineRule="auto"/>
              <w:ind w:firstLine="0" w:firstLineChars="0"/>
              <w:rPr>
                <w:rFonts w:hint="eastAsia"/>
                <w:sz w:val="21"/>
                <w:szCs w:val="21"/>
              </w:rPr>
            </w:pPr>
          </w:p>
        </w:tc>
        <w:tc>
          <w:tcPr>
            <w:tcW w:w="883" w:type="dxa"/>
          </w:tcPr>
          <w:p w14:paraId="07797E1A">
            <w:pPr>
              <w:pStyle w:val="5"/>
              <w:spacing w:line="240" w:lineRule="auto"/>
              <w:ind w:firstLine="0" w:firstLineChars="0"/>
              <w:rPr>
                <w:rFonts w:hint="eastAsia"/>
                <w:sz w:val="21"/>
                <w:szCs w:val="21"/>
              </w:rPr>
            </w:pPr>
          </w:p>
        </w:tc>
      </w:tr>
      <w:tr w14:paraId="29B3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7C4883C0">
            <w:pPr>
              <w:pStyle w:val="5"/>
              <w:spacing w:line="240" w:lineRule="auto"/>
              <w:ind w:firstLine="0" w:firstLineChars="0"/>
              <w:jc w:val="center"/>
              <w:rPr>
                <w:rFonts w:hint="eastAsia"/>
                <w:sz w:val="21"/>
                <w:szCs w:val="21"/>
              </w:rPr>
            </w:pPr>
          </w:p>
        </w:tc>
        <w:tc>
          <w:tcPr>
            <w:tcW w:w="806" w:type="dxa"/>
            <w:vMerge w:val="continue"/>
            <w:vAlign w:val="center"/>
          </w:tcPr>
          <w:p w14:paraId="0F368EF8">
            <w:pPr>
              <w:pStyle w:val="5"/>
              <w:spacing w:line="240" w:lineRule="auto"/>
              <w:ind w:firstLine="0" w:firstLineChars="0"/>
              <w:jc w:val="center"/>
              <w:rPr>
                <w:rFonts w:hint="eastAsia"/>
                <w:sz w:val="21"/>
                <w:szCs w:val="21"/>
              </w:rPr>
            </w:pPr>
          </w:p>
        </w:tc>
        <w:tc>
          <w:tcPr>
            <w:tcW w:w="2468" w:type="dxa"/>
            <w:vAlign w:val="center"/>
          </w:tcPr>
          <w:p w14:paraId="62A906F4">
            <w:pPr>
              <w:pStyle w:val="5"/>
              <w:spacing w:line="240" w:lineRule="auto"/>
              <w:ind w:firstLine="0" w:firstLineChars="0"/>
              <w:rPr>
                <w:rFonts w:hint="eastAsia"/>
                <w:sz w:val="21"/>
                <w:szCs w:val="21"/>
              </w:rPr>
            </w:pPr>
            <w:r>
              <w:rPr>
                <w:rFonts w:hint="eastAsia"/>
                <w:sz w:val="21"/>
                <w:szCs w:val="21"/>
              </w:rPr>
              <w:t>2.机动车道每天机械清扫少于2次，洒水作业每天少于4次、喷雾降尘不少于3次。干燥气候及污染天气喷雾降尘不少于4次，作业时车速不得超过15公里每小时。路面见本色，做到“八无、八净”的质量标准。</w:t>
            </w:r>
          </w:p>
        </w:tc>
        <w:tc>
          <w:tcPr>
            <w:tcW w:w="560" w:type="dxa"/>
            <w:vAlign w:val="center"/>
          </w:tcPr>
          <w:p w14:paraId="6769E031">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258F9D30">
            <w:pPr>
              <w:pStyle w:val="5"/>
              <w:spacing w:line="240" w:lineRule="auto"/>
              <w:ind w:firstLine="0" w:firstLineChars="0"/>
              <w:rPr>
                <w:rFonts w:hint="eastAsia"/>
                <w:sz w:val="21"/>
                <w:szCs w:val="21"/>
              </w:rPr>
            </w:pPr>
            <w:r>
              <w:rPr>
                <w:rFonts w:hint="eastAsia"/>
                <w:sz w:val="21"/>
                <w:szCs w:val="21"/>
              </w:rPr>
              <w:t>发现清扫次数不达标，每次每条街道扣0.5分，超速每次扣0.5分。扣完该项分值为止。</w:t>
            </w:r>
          </w:p>
        </w:tc>
        <w:tc>
          <w:tcPr>
            <w:tcW w:w="695" w:type="dxa"/>
          </w:tcPr>
          <w:p w14:paraId="2CF21121">
            <w:pPr>
              <w:pStyle w:val="5"/>
              <w:spacing w:line="240" w:lineRule="auto"/>
              <w:ind w:firstLine="0" w:firstLineChars="0"/>
              <w:rPr>
                <w:rFonts w:hint="eastAsia"/>
                <w:sz w:val="21"/>
                <w:szCs w:val="21"/>
              </w:rPr>
            </w:pPr>
          </w:p>
        </w:tc>
        <w:tc>
          <w:tcPr>
            <w:tcW w:w="883" w:type="dxa"/>
          </w:tcPr>
          <w:p w14:paraId="04AFCDD1">
            <w:pPr>
              <w:pStyle w:val="5"/>
              <w:spacing w:line="240" w:lineRule="auto"/>
              <w:ind w:firstLine="0" w:firstLineChars="0"/>
              <w:rPr>
                <w:rFonts w:hint="eastAsia"/>
                <w:sz w:val="21"/>
                <w:szCs w:val="21"/>
              </w:rPr>
            </w:pPr>
          </w:p>
        </w:tc>
      </w:tr>
      <w:tr w14:paraId="770C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52A71DDA">
            <w:pPr>
              <w:pStyle w:val="5"/>
              <w:spacing w:line="240" w:lineRule="auto"/>
              <w:ind w:firstLine="0" w:firstLineChars="0"/>
              <w:jc w:val="center"/>
              <w:rPr>
                <w:rFonts w:hint="eastAsia"/>
                <w:sz w:val="21"/>
                <w:szCs w:val="21"/>
              </w:rPr>
            </w:pPr>
          </w:p>
        </w:tc>
        <w:tc>
          <w:tcPr>
            <w:tcW w:w="806" w:type="dxa"/>
            <w:vMerge w:val="continue"/>
            <w:vAlign w:val="center"/>
          </w:tcPr>
          <w:p w14:paraId="629CB567">
            <w:pPr>
              <w:pStyle w:val="5"/>
              <w:spacing w:line="240" w:lineRule="auto"/>
              <w:ind w:firstLine="0" w:firstLineChars="0"/>
              <w:jc w:val="center"/>
              <w:rPr>
                <w:rFonts w:hint="eastAsia"/>
                <w:sz w:val="21"/>
                <w:szCs w:val="21"/>
              </w:rPr>
            </w:pPr>
          </w:p>
        </w:tc>
        <w:tc>
          <w:tcPr>
            <w:tcW w:w="2468" w:type="dxa"/>
            <w:vAlign w:val="center"/>
          </w:tcPr>
          <w:p w14:paraId="3157535D">
            <w:pPr>
              <w:pStyle w:val="5"/>
              <w:spacing w:line="240" w:lineRule="auto"/>
              <w:ind w:firstLine="0" w:firstLineChars="0"/>
              <w:rPr>
                <w:rFonts w:hint="eastAsia"/>
                <w:sz w:val="21"/>
                <w:szCs w:val="21"/>
              </w:rPr>
            </w:pPr>
            <w:r>
              <w:rPr>
                <w:rFonts w:hint="eastAsia"/>
                <w:sz w:val="21"/>
                <w:szCs w:val="21"/>
              </w:rPr>
              <w:t>3.机械作业时应遵守相关安全规定，开安全警示信号灯。</w:t>
            </w:r>
          </w:p>
        </w:tc>
        <w:tc>
          <w:tcPr>
            <w:tcW w:w="560" w:type="dxa"/>
            <w:vAlign w:val="center"/>
          </w:tcPr>
          <w:p w14:paraId="51662C0C">
            <w:pPr>
              <w:pStyle w:val="5"/>
              <w:spacing w:line="240" w:lineRule="auto"/>
              <w:ind w:firstLine="0" w:firstLineChars="0"/>
              <w:jc w:val="center"/>
              <w:rPr>
                <w:rFonts w:hint="eastAsia"/>
                <w:sz w:val="21"/>
                <w:szCs w:val="21"/>
              </w:rPr>
            </w:pPr>
            <w:r>
              <w:rPr>
                <w:rFonts w:hint="eastAsia"/>
                <w:sz w:val="21"/>
                <w:szCs w:val="21"/>
              </w:rPr>
              <w:t>2</w:t>
            </w:r>
          </w:p>
        </w:tc>
        <w:tc>
          <w:tcPr>
            <w:tcW w:w="2462" w:type="dxa"/>
            <w:vAlign w:val="center"/>
          </w:tcPr>
          <w:p w14:paraId="15427246">
            <w:pPr>
              <w:pStyle w:val="5"/>
              <w:spacing w:line="240" w:lineRule="auto"/>
              <w:ind w:firstLine="0" w:firstLineChars="0"/>
              <w:rPr>
                <w:rFonts w:hint="eastAsia"/>
                <w:sz w:val="21"/>
                <w:szCs w:val="21"/>
              </w:rPr>
            </w:pPr>
            <w:r>
              <w:rPr>
                <w:rFonts w:hint="eastAsia"/>
                <w:sz w:val="21"/>
                <w:szCs w:val="21"/>
              </w:rPr>
              <w:t>发现一次扣0.5分。扣完该项分值为止。</w:t>
            </w:r>
          </w:p>
        </w:tc>
        <w:tc>
          <w:tcPr>
            <w:tcW w:w="695" w:type="dxa"/>
          </w:tcPr>
          <w:p w14:paraId="0C5752BD">
            <w:pPr>
              <w:pStyle w:val="5"/>
              <w:spacing w:line="240" w:lineRule="auto"/>
              <w:ind w:firstLine="0" w:firstLineChars="0"/>
              <w:rPr>
                <w:rFonts w:hint="eastAsia"/>
                <w:sz w:val="21"/>
                <w:szCs w:val="21"/>
              </w:rPr>
            </w:pPr>
          </w:p>
        </w:tc>
        <w:tc>
          <w:tcPr>
            <w:tcW w:w="883" w:type="dxa"/>
          </w:tcPr>
          <w:p w14:paraId="347216A9">
            <w:pPr>
              <w:pStyle w:val="5"/>
              <w:spacing w:line="240" w:lineRule="auto"/>
              <w:ind w:firstLine="0" w:firstLineChars="0"/>
              <w:rPr>
                <w:rFonts w:hint="eastAsia"/>
                <w:sz w:val="21"/>
                <w:szCs w:val="21"/>
              </w:rPr>
            </w:pPr>
          </w:p>
        </w:tc>
      </w:tr>
      <w:tr w14:paraId="7614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75737EBE">
            <w:pPr>
              <w:pStyle w:val="5"/>
              <w:spacing w:line="240" w:lineRule="auto"/>
              <w:ind w:firstLine="0" w:firstLineChars="0"/>
              <w:jc w:val="center"/>
              <w:rPr>
                <w:rFonts w:hint="eastAsia"/>
                <w:sz w:val="21"/>
                <w:szCs w:val="21"/>
              </w:rPr>
            </w:pPr>
          </w:p>
        </w:tc>
        <w:tc>
          <w:tcPr>
            <w:tcW w:w="806" w:type="dxa"/>
            <w:vMerge w:val="continue"/>
            <w:vAlign w:val="center"/>
          </w:tcPr>
          <w:p w14:paraId="5D173463">
            <w:pPr>
              <w:pStyle w:val="5"/>
              <w:spacing w:line="240" w:lineRule="auto"/>
              <w:ind w:firstLine="0" w:firstLineChars="0"/>
              <w:jc w:val="center"/>
              <w:rPr>
                <w:rFonts w:hint="eastAsia"/>
                <w:sz w:val="21"/>
                <w:szCs w:val="21"/>
              </w:rPr>
            </w:pPr>
          </w:p>
        </w:tc>
        <w:tc>
          <w:tcPr>
            <w:tcW w:w="2468" w:type="dxa"/>
            <w:vAlign w:val="center"/>
          </w:tcPr>
          <w:p w14:paraId="7829F04B">
            <w:pPr>
              <w:pStyle w:val="5"/>
              <w:spacing w:line="240" w:lineRule="auto"/>
              <w:ind w:firstLine="0" w:firstLineChars="0"/>
              <w:rPr>
                <w:rFonts w:hint="eastAsia"/>
                <w:sz w:val="21"/>
                <w:szCs w:val="21"/>
              </w:rPr>
            </w:pPr>
            <w:r>
              <w:rPr>
                <w:rFonts w:hint="eastAsia"/>
                <w:sz w:val="21"/>
                <w:szCs w:val="21"/>
              </w:rPr>
              <w:t>4.机械冲洗作业要达到标志线清晰，路面、路沿石、绿化带边角、候车亭周边、道路交叉口部无积尘泥沙，无油污积水，路面现本色的标准。道路冲洗作业机动车道路100米范围内泥沙累计不能超过5米，明显的污渍不超过2处；人工清洗作业人行道及非机动车道，污渍每1000平米不超过3处。</w:t>
            </w:r>
          </w:p>
        </w:tc>
        <w:tc>
          <w:tcPr>
            <w:tcW w:w="560" w:type="dxa"/>
            <w:vAlign w:val="center"/>
          </w:tcPr>
          <w:p w14:paraId="327524D7">
            <w:pPr>
              <w:pStyle w:val="5"/>
              <w:spacing w:line="240" w:lineRule="auto"/>
              <w:ind w:firstLine="0" w:firstLineChars="0"/>
              <w:jc w:val="center"/>
              <w:rPr>
                <w:rFonts w:hint="eastAsia"/>
                <w:sz w:val="21"/>
                <w:szCs w:val="21"/>
              </w:rPr>
            </w:pPr>
            <w:r>
              <w:rPr>
                <w:rFonts w:hint="eastAsia"/>
                <w:sz w:val="21"/>
                <w:szCs w:val="21"/>
              </w:rPr>
              <w:t>13</w:t>
            </w:r>
          </w:p>
        </w:tc>
        <w:tc>
          <w:tcPr>
            <w:tcW w:w="2462" w:type="dxa"/>
            <w:vAlign w:val="center"/>
          </w:tcPr>
          <w:p w14:paraId="5EA4FE2F">
            <w:pPr>
              <w:pStyle w:val="5"/>
              <w:spacing w:line="240" w:lineRule="auto"/>
              <w:ind w:firstLine="0" w:firstLineChars="0"/>
              <w:rPr>
                <w:rFonts w:hint="eastAsia"/>
                <w:sz w:val="21"/>
                <w:szCs w:val="21"/>
              </w:rPr>
            </w:pPr>
            <w:r>
              <w:rPr>
                <w:rFonts w:hint="eastAsia"/>
                <w:sz w:val="21"/>
                <w:szCs w:val="21"/>
              </w:rPr>
              <w:t>1.发现不达标，每处扣0.5分。</w:t>
            </w:r>
          </w:p>
          <w:p w14:paraId="25E9CC45">
            <w:pPr>
              <w:pStyle w:val="5"/>
              <w:spacing w:line="240" w:lineRule="auto"/>
              <w:ind w:firstLine="0" w:firstLineChars="0"/>
              <w:rPr>
                <w:rFonts w:hint="eastAsia"/>
                <w:sz w:val="21"/>
                <w:szCs w:val="21"/>
              </w:rPr>
            </w:pPr>
            <w:r>
              <w:rPr>
                <w:rFonts w:hint="eastAsia"/>
                <w:sz w:val="21"/>
                <w:szCs w:val="21"/>
              </w:rPr>
              <w:t>2.人行道及非机动车道泥沙、污渍每次抽检不少于3条街道，每条道路的人行道及非机动车道随机抽检不少于3处，发现不达标，每处扣0.5分。扣完该项分值13分为止。</w:t>
            </w:r>
          </w:p>
        </w:tc>
        <w:tc>
          <w:tcPr>
            <w:tcW w:w="695" w:type="dxa"/>
          </w:tcPr>
          <w:p w14:paraId="33D4B12B">
            <w:pPr>
              <w:pStyle w:val="5"/>
              <w:spacing w:line="240" w:lineRule="auto"/>
              <w:ind w:firstLine="0" w:firstLineChars="0"/>
              <w:rPr>
                <w:rFonts w:hint="eastAsia"/>
                <w:sz w:val="21"/>
                <w:szCs w:val="21"/>
              </w:rPr>
            </w:pPr>
          </w:p>
        </w:tc>
        <w:tc>
          <w:tcPr>
            <w:tcW w:w="883" w:type="dxa"/>
          </w:tcPr>
          <w:p w14:paraId="547FA0F5">
            <w:pPr>
              <w:pStyle w:val="5"/>
              <w:spacing w:line="240" w:lineRule="auto"/>
              <w:ind w:firstLine="0" w:firstLineChars="0"/>
              <w:rPr>
                <w:rFonts w:hint="eastAsia"/>
                <w:sz w:val="21"/>
                <w:szCs w:val="21"/>
              </w:rPr>
            </w:pPr>
          </w:p>
        </w:tc>
      </w:tr>
      <w:tr w14:paraId="5E9D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075AF8F0">
            <w:pPr>
              <w:pStyle w:val="5"/>
              <w:spacing w:line="240" w:lineRule="auto"/>
              <w:ind w:firstLine="0" w:firstLineChars="0"/>
              <w:jc w:val="center"/>
              <w:rPr>
                <w:rFonts w:hint="eastAsia"/>
                <w:sz w:val="21"/>
                <w:szCs w:val="21"/>
              </w:rPr>
            </w:pPr>
            <w:r>
              <w:rPr>
                <w:rFonts w:hint="eastAsia"/>
                <w:sz w:val="21"/>
                <w:szCs w:val="21"/>
              </w:rPr>
              <w:t>4</w:t>
            </w:r>
          </w:p>
        </w:tc>
        <w:tc>
          <w:tcPr>
            <w:tcW w:w="806" w:type="dxa"/>
            <w:vMerge w:val="restart"/>
            <w:vAlign w:val="center"/>
          </w:tcPr>
          <w:p w14:paraId="4ACA65EA">
            <w:pPr>
              <w:pStyle w:val="5"/>
              <w:spacing w:line="240" w:lineRule="auto"/>
              <w:ind w:firstLine="0" w:firstLineChars="0"/>
              <w:jc w:val="center"/>
              <w:rPr>
                <w:rFonts w:hint="eastAsia"/>
                <w:sz w:val="21"/>
                <w:szCs w:val="21"/>
              </w:rPr>
            </w:pPr>
            <w:r>
              <w:rPr>
                <w:rFonts w:hint="eastAsia"/>
                <w:sz w:val="21"/>
                <w:szCs w:val="21"/>
              </w:rPr>
              <w:t>垃圾收集清运（10分）</w:t>
            </w:r>
          </w:p>
        </w:tc>
        <w:tc>
          <w:tcPr>
            <w:tcW w:w="2468" w:type="dxa"/>
            <w:vAlign w:val="center"/>
          </w:tcPr>
          <w:p w14:paraId="6064EC49">
            <w:pPr>
              <w:pStyle w:val="5"/>
              <w:spacing w:line="240" w:lineRule="auto"/>
              <w:ind w:firstLine="0" w:firstLineChars="0"/>
              <w:rPr>
                <w:rFonts w:hint="eastAsia"/>
                <w:sz w:val="21"/>
                <w:szCs w:val="21"/>
              </w:rPr>
            </w:pPr>
            <w:r>
              <w:rPr>
                <w:rFonts w:hint="eastAsia"/>
                <w:sz w:val="21"/>
                <w:szCs w:val="21"/>
              </w:rPr>
              <w:t>1.垃圾收集及时，沿街垃圾和保洁垃圾及时清运，禁止裸露堆放在路面；对夜间保洁垃圾和门店垃圾收集及时清运，日产日清，做到垃圾不过夜，不积存。</w:t>
            </w:r>
          </w:p>
        </w:tc>
        <w:tc>
          <w:tcPr>
            <w:tcW w:w="560" w:type="dxa"/>
            <w:vAlign w:val="center"/>
          </w:tcPr>
          <w:p w14:paraId="20383C86">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4F0C0D33">
            <w:pPr>
              <w:pStyle w:val="5"/>
              <w:spacing w:line="240" w:lineRule="auto"/>
              <w:ind w:firstLine="0" w:firstLineChars="0"/>
              <w:rPr>
                <w:rFonts w:hint="eastAsia"/>
                <w:sz w:val="21"/>
                <w:szCs w:val="21"/>
              </w:rPr>
            </w:pPr>
            <w:r>
              <w:rPr>
                <w:rFonts w:hint="eastAsia"/>
                <w:sz w:val="21"/>
                <w:szCs w:val="21"/>
              </w:rPr>
              <w:t>收集清运不及时，每处扣0.5分。扣完该项分值为止。</w:t>
            </w:r>
          </w:p>
        </w:tc>
        <w:tc>
          <w:tcPr>
            <w:tcW w:w="695" w:type="dxa"/>
          </w:tcPr>
          <w:p w14:paraId="3D9E9C7C">
            <w:pPr>
              <w:pStyle w:val="5"/>
              <w:spacing w:line="240" w:lineRule="auto"/>
              <w:ind w:firstLine="0" w:firstLineChars="0"/>
              <w:rPr>
                <w:rFonts w:hint="eastAsia"/>
                <w:sz w:val="21"/>
                <w:szCs w:val="21"/>
              </w:rPr>
            </w:pPr>
          </w:p>
        </w:tc>
        <w:tc>
          <w:tcPr>
            <w:tcW w:w="883" w:type="dxa"/>
          </w:tcPr>
          <w:p w14:paraId="10F6F89E">
            <w:pPr>
              <w:pStyle w:val="5"/>
              <w:spacing w:line="240" w:lineRule="auto"/>
              <w:ind w:firstLine="0" w:firstLineChars="0"/>
              <w:rPr>
                <w:rFonts w:hint="eastAsia"/>
                <w:sz w:val="21"/>
                <w:szCs w:val="21"/>
              </w:rPr>
            </w:pPr>
          </w:p>
        </w:tc>
      </w:tr>
      <w:tr w14:paraId="0454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41282F6B">
            <w:pPr>
              <w:pStyle w:val="5"/>
              <w:spacing w:line="240" w:lineRule="auto"/>
              <w:ind w:firstLine="0" w:firstLineChars="0"/>
              <w:jc w:val="center"/>
              <w:rPr>
                <w:rFonts w:hint="eastAsia"/>
                <w:sz w:val="21"/>
                <w:szCs w:val="21"/>
              </w:rPr>
            </w:pPr>
          </w:p>
        </w:tc>
        <w:tc>
          <w:tcPr>
            <w:tcW w:w="806" w:type="dxa"/>
            <w:vMerge w:val="continue"/>
            <w:vAlign w:val="center"/>
          </w:tcPr>
          <w:p w14:paraId="6323558E">
            <w:pPr>
              <w:pStyle w:val="5"/>
              <w:spacing w:line="240" w:lineRule="auto"/>
              <w:ind w:firstLine="0" w:firstLineChars="0"/>
              <w:jc w:val="center"/>
              <w:rPr>
                <w:rFonts w:hint="eastAsia"/>
                <w:sz w:val="21"/>
                <w:szCs w:val="21"/>
              </w:rPr>
            </w:pPr>
          </w:p>
        </w:tc>
        <w:tc>
          <w:tcPr>
            <w:tcW w:w="2468" w:type="dxa"/>
            <w:vAlign w:val="center"/>
          </w:tcPr>
          <w:p w14:paraId="42611313">
            <w:pPr>
              <w:pStyle w:val="5"/>
              <w:spacing w:line="240" w:lineRule="auto"/>
              <w:ind w:firstLine="0" w:firstLineChars="0"/>
              <w:rPr>
                <w:rFonts w:hint="eastAsia"/>
                <w:sz w:val="21"/>
                <w:szCs w:val="21"/>
              </w:rPr>
            </w:pPr>
            <w:r>
              <w:rPr>
                <w:rFonts w:hint="eastAsia"/>
                <w:sz w:val="21"/>
                <w:szCs w:val="21"/>
              </w:rPr>
              <w:t>2.垃圾实行密闭化运输，不得扬、撒、漏、拖、挂，不得乱倒、乱卸、乱抛，无污水滴漏。</w:t>
            </w:r>
          </w:p>
        </w:tc>
        <w:tc>
          <w:tcPr>
            <w:tcW w:w="560" w:type="dxa"/>
            <w:vAlign w:val="center"/>
          </w:tcPr>
          <w:p w14:paraId="3AEE620C">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5B2CE09D">
            <w:pPr>
              <w:pStyle w:val="5"/>
              <w:spacing w:line="240" w:lineRule="auto"/>
              <w:ind w:firstLine="0" w:firstLineChars="0"/>
              <w:rPr>
                <w:rFonts w:hint="eastAsia"/>
                <w:sz w:val="21"/>
                <w:szCs w:val="21"/>
              </w:rPr>
            </w:pPr>
            <w:r>
              <w:rPr>
                <w:rFonts w:hint="eastAsia"/>
                <w:sz w:val="21"/>
                <w:szCs w:val="21"/>
              </w:rPr>
              <w:t>发现不达到标，每处扣1分。扣完该项分值为止。</w:t>
            </w:r>
          </w:p>
        </w:tc>
        <w:tc>
          <w:tcPr>
            <w:tcW w:w="695" w:type="dxa"/>
          </w:tcPr>
          <w:p w14:paraId="1BB5DCBC">
            <w:pPr>
              <w:pStyle w:val="5"/>
              <w:spacing w:line="240" w:lineRule="auto"/>
              <w:ind w:firstLine="0" w:firstLineChars="0"/>
              <w:rPr>
                <w:rFonts w:hint="eastAsia"/>
                <w:sz w:val="21"/>
                <w:szCs w:val="21"/>
              </w:rPr>
            </w:pPr>
          </w:p>
        </w:tc>
        <w:tc>
          <w:tcPr>
            <w:tcW w:w="883" w:type="dxa"/>
          </w:tcPr>
          <w:p w14:paraId="712D6807">
            <w:pPr>
              <w:pStyle w:val="5"/>
              <w:spacing w:line="240" w:lineRule="auto"/>
              <w:ind w:firstLine="0" w:firstLineChars="0"/>
              <w:rPr>
                <w:rFonts w:hint="eastAsia"/>
                <w:sz w:val="21"/>
                <w:szCs w:val="21"/>
              </w:rPr>
            </w:pPr>
          </w:p>
        </w:tc>
      </w:tr>
      <w:tr w14:paraId="79D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1EE8BC08">
            <w:pPr>
              <w:pStyle w:val="5"/>
              <w:spacing w:line="240" w:lineRule="auto"/>
              <w:ind w:firstLine="0" w:firstLineChars="0"/>
              <w:jc w:val="center"/>
              <w:rPr>
                <w:rFonts w:hint="eastAsia"/>
                <w:sz w:val="21"/>
                <w:szCs w:val="21"/>
              </w:rPr>
            </w:pPr>
            <w:r>
              <w:rPr>
                <w:rFonts w:hint="eastAsia"/>
                <w:sz w:val="21"/>
                <w:szCs w:val="21"/>
              </w:rPr>
              <w:t>5</w:t>
            </w:r>
          </w:p>
        </w:tc>
        <w:tc>
          <w:tcPr>
            <w:tcW w:w="806" w:type="dxa"/>
            <w:vMerge w:val="restart"/>
            <w:vAlign w:val="center"/>
          </w:tcPr>
          <w:p w14:paraId="3C6DF7C3">
            <w:pPr>
              <w:pStyle w:val="5"/>
              <w:spacing w:line="240" w:lineRule="auto"/>
              <w:ind w:firstLine="0" w:firstLineChars="0"/>
              <w:jc w:val="center"/>
              <w:rPr>
                <w:rFonts w:hint="eastAsia"/>
                <w:sz w:val="21"/>
                <w:szCs w:val="21"/>
              </w:rPr>
            </w:pPr>
            <w:r>
              <w:rPr>
                <w:rFonts w:hint="eastAsia"/>
                <w:sz w:val="21"/>
                <w:szCs w:val="21"/>
              </w:rPr>
              <w:t>环卫设施管理（15分）</w:t>
            </w:r>
          </w:p>
        </w:tc>
        <w:tc>
          <w:tcPr>
            <w:tcW w:w="2468" w:type="dxa"/>
            <w:vAlign w:val="center"/>
          </w:tcPr>
          <w:p w14:paraId="1F2BBB84">
            <w:pPr>
              <w:pStyle w:val="5"/>
              <w:spacing w:line="240" w:lineRule="auto"/>
              <w:ind w:firstLine="0" w:firstLineChars="0"/>
              <w:rPr>
                <w:rFonts w:hint="eastAsia"/>
                <w:sz w:val="21"/>
                <w:szCs w:val="21"/>
              </w:rPr>
            </w:pPr>
            <w:r>
              <w:rPr>
                <w:rFonts w:hint="eastAsia"/>
                <w:sz w:val="21"/>
                <w:szCs w:val="21"/>
              </w:rPr>
              <w:t>1.果皮箱（垃圾桶）外观保持整洁，无污垢；每天擦洗箱体一次，摆正、门关严、无外胆外放、无小广告；果皮箱（垃圾桶）内垃圾及时清掏，无垃圾外溢，周边地面及底部洁净，无污物。</w:t>
            </w:r>
          </w:p>
        </w:tc>
        <w:tc>
          <w:tcPr>
            <w:tcW w:w="560" w:type="dxa"/>
            <w:vAlign w:val="center"/>
          </w:tcPr>
          <w:p w14:paraId="412D7561">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0FDFEAD5">
            <w:pPr>
              <w:pStyle w:val="5"/>
              <w:spacing w:line="240" w:lineRule="auto"/>
              <w:ind w:firstLine="0" w:firstLineChars="0"/>
              <w:rPr>
                <w:rFonts w:hint="eastAsia"/>
                <w:sz w:val="21"/>
                <w:szCs w:val="21"/>
              </w:rPr>
            </w:pPr>
            <w:r>
              <w:rPr>
                <w:rFonts w:hint="eastAsia"/>
                <w:sz w:val="21"/>
                <w:szCs w:val="21"/>
              </w:rPr>
              <w:t>发现不达到标，每处扣1分。扣完该项分值为止。</w:t>
            </w:r>
          </w:p>
        </w:tc>
        <w:tc>
          <w:tcPr>
            <w:tcW w:w="695" w:type="dxa"/>
          </w:tcPr>
          <w:p w14:paraId="2AB1E041">
            <w:pPr>
              <w:pStyle w:val="5"/>
              <w:spacing w:line="240" w:lineRule="auto"/>
              <w:ind w:firstLine="0" w:firstLineChars="0"/>
              <w:rPr>
                <w:rFonts w:hint="eastAsia"/>
                <w:sz w:val="21"/>
                <w:szCs w:val="21"/>
              </w:rPr>
            </w:pPr>
          </w:p>
        </w:tc>
        <w:tc>
          <w:tcPr>
            <w:tcW w:w="883" w:type="dxa"/>
          </w:tcPr>
          <w:p w14:paraId="4F1841A7">
            <w:pPr>
              <w:pStyle w:val="5"/>
              <w:spacing w:line="240" w:lineRule="auto"/>
              <w:ind w:firstLine="0" w:firstLineChars="0"/>
              <w:rPr>
                <w:rFonts w:hint="eastAsia"/>
                <w:sz w:val="21"/>
                <w:szCs w:val="21"/>
              </w:rPr>
            </w:pPr>
          </w:p>
        </w:tc>
      </w:tr>
      <w:tr w14:paraId="7470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3C42745E">
            <w:pPr>
              <w:pStyle w:val="5"/>
              <w:spacing w:line="240" w:lineRule="auto"/>
              <w:ind w:firstLine="0" w:firstLineChars="0"/>
              <w:jc w:val="center"/>
              <w:rPr>
                <w:rFonts w:hint="eastAsia"/>
                <w:sz w:val="21"/>
                <w:szCs w:val="21"/>
              </w:rPr>
            </w:pPr>
          </w:p>
        </w:tc>
        <w:tc>
          <w:tcPr>
            <w:tcW w:w="806" w:type="dxa"/>
            <w:vMerge w:val="continue"/>
            <w:vAlign w:val="center"/>
          </w:tcPr>
          <w:p w14:paraId="34875E0A">
            <w:pPr>
              <w:pStyle w:val="5"/>
              <w:spacing w:line="240" w:lineRule="auto"/>
              <w:ind w:firstLine="0" w:firstLineChars="0"/>
              <w:jc w:val="center"/>
              <w:rPr>
                <w:rFonts w:hint="eastAsia"/>
                <w:sz w:val="21"/>
                <w:szCs w:val="21"/>
              </w:rPr>
            </w:pPr>
          </w:p>
        </w:tc>
        <w:tc>
          <w:tcPr>
            <w:tcW w:w="2468" w:type="dxa"/>
            <w:vAlign w:val="center"/>
          </w:tcPr>
          <w:p w14:paraId="08994B5E">
            <w:pPr>
              <w:pStyle w:val="5"/>
              <w:spacing w:line="240" w:lineRule="auto"/>
              <w:ind w:firstLine="0" w:firstLineChars="0"/>
              <w:rPr>
                <w:rFonts w:hint="eastAsia"/>
                <w:sz w:val="21"/>
                <w:szCs w:val="21"/>
              </w:rPr>
            </w:pPr>
            <w:r>
              <w:rPr>
                <w:rFonts w:hint="eastAsia"/>
                <w:sz w:val="21"/>
                <w:szCs w:val="21"/>
              </w:rPr>
              <w:t>2.车辆保持车容整洁，标识清晰，无破损、锈迹，定期检修、刷漆、翻新。</w:t>
            </w:r>
          </w:p>
        </w:tc>
        <w:tc>
          <w:tcPr>
            <w:tcW w:w="560" w:type="dxa"/>
            <w:vAlign w:val="center"/>
          </w:tcPr>
          <w:p w14:paraId="46DD75E5">
            <w:pPr>
              <w:pStyle w:val="5"/>
              <w:spacing w:line="240" w:lineRule="auto"/>
              <w:ind w:firstLine="0" w:firstLineChars="0"/>
              <w:jc w:val="center"/>
              <w:rPr>
                <w:rFonts w:hint="eastAsia"/>
                <w:sz w:val="21"/>
                <w:szCs w:val="21"/>
              </w:rPr>
            </w:pPr>
            <w:r>
              <w:rPr>
                <w:rFonts w:hint="eastAsia"/>
                <w:sz w:val="21"/>
                <w:szCs w:val="21"/>
              </w:rPr>
              <w:t>2</w:t>
            </w:r>
          </w:p>
        </w:tc>
        <w:tc>
          <w:tcPr>
            <w:tcW w:w="2462" w:type="dxa"/>
            <w:vAlign w:val="center"/>
          </w:tcPr>
          <w:p w14:paraId="7DAB01DC">
            <w:pPr>
              <w:pStyle w:val="5"/>
              <w:spacing w:line="240" w:lineRule="auto"/>
              <w:ind w:firstLine="0" w:firstLineChars="0"/>
              <w:rPr>
                <w:rFonts w:hint="eastAsia"/>
                <w:sz w:val="21"/>
                <w:szCs w:val="21"/>
              </w:rPr>
            </w:pPr>
            <w:r>
              <w:rPr>
                <w:rFonts w:hint="eastAsia"/>
                <w:sz w:val="21"/>
                <w:szCs w:val="21"/>
              </w:rPr>
              <w:t>发现不达到标，每处扣0.5分。扣完该项分值为止。</w:t>
            </w:r>
          </w:p>
        </w:tc>
        <w:tc>
          <w:tcPr>
            <w:tcW w:w="695" w:type="dxa"/>
          </w:tcPr>
          <w:p w14:paraId="2F64A19F">
            <w:pPr>
              <w:pStyle w:val="5"/>
              <w:spacing w:line="240" w:lineRule="auto"/>
              <w:ind w:firstLine="0" w:firstLineChars="0"/>
              <w:rPr>
                <w:rFonts w:hint="eastAsia"/>
                <w:sz w:val="21"/>
                <w:szCs w:val="21"/>
              </w:rPr>
            </w:pPr>
          </w:p>
        </w:tc>
        <w:tc>
          <w:tcPr>
            <w:tcW w:w="883" w:type="dxa"/>
          </w:tcPr>
          <w:p w14:paraId="190D23E0">
            <w:pPr>
              <w:pStyle w:val="5"/>
              <w:spacing w:line="240" w:lineRule="auto"/>
              <w:ind w:firstLine="0" w:firstLineChars="0"/>
              <w:rPr>
                <w:rFonts w:hint="eastAsia"/>
                <w:sz w:val="21"/>
                <w:szCs w:val="21"/>
              </w:rPr>
            </w:pPr>
          </w:p>
        </w:tc>
      </w:tr>
      <w:tr w14:paraId="2B62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51722EA2">
            <w:pPr>
              <w:pStyle w:val="5"/>
              <w:spacing w:line="240" w:lineRule="auto"/>
              <w:ind w:firstLine="0" w:firstLineChars="0"/>
              <w:jc w:val="center"/>
              <w:rPr>
                <w:rFonts w:hint="eastAsia"/>
                <w:sz w:val="21"/>
                <w:szCs w:val="21"/>
              </w:rPr>
            </w:pPr>
          </w:p>
        </w:tc>
        <w:tc>
          <w:tcPr>
            <w:tcW w:w="806" w:type="dxa"/>
            <w:vMerge w:val="continue"/>
            <w:vAlign w:val="center"/>
          </w:tcPr>
          <w:p w14:paraId="2B91EE96">
            <w:pPr>
              <w:pStyle w:val="5"/>
              <w:spacing w:line="240" w:lineRule="auto"/>
              <w:ind w:firstLine="0" w:firstLineChars="0"/>
              <w:jc w:val="center"/>
              <w:rPr>
                <w:rFonts w:hint="eastAsia"/>
                <w:sz w:val="21"/>
                <w:szCs w:val="21"/>
              </w:rPr>
            </w:pPr>
          </w:p>
        </w:tc>
        <w:tc>
          <w:tcPr>
            <w:tcW w:w="2468" w:type="dxa"/>
            <w:vAlign w:val="center"/>
          </w:tcPr>
          <w:p w14:paraId="6568BCCB">
            <w:pPr>
              <w:pStyle w:val="5"/>
              <w:spacing w:line="240" w:lineRule="auto"/>
              <w:ind w:firstLine="0" w:firstLineChars="0"/>
              <w:rPr>
                <w:rFonts w:hint="eastAsia"/>
                <w:sz w:val="21"/>
                <w:szCs w:val="21"/>
              </w:rPr>
            </w:pPr>
            <w:r>
              <w:rPr>
                <w:rFonts w:hint="eastAsia"/>
                <w:sz w:val="21"/>
                <w:szCs w:val="21"/>
              </w:rPr>
              <w:t>3.公厕干净整洁，无粪池满溢、无管道堵塞、无乱涂乱画、无非法张贴、无积尘积水、无垃圾痰迹、无粪迹尿迹；按时开放，设施完好，开放率及完好率达95％以上。</w:t>
            </w:r>
          </w:p>
        </w:tc>
        <w:tc>
          <w:tcPr>
            <w:tcW w:w="560" w:type="dxa"/>
            <w:vAlign w:val="center"/>
          </w:tcPr>
          <w:p w14:paraId="1F210407">
            <w:pPr>
              <w:pStyle w:val="5"/>
              <w:spacing w:line="240" w:lineRule="auto"/>
              <w:ind w:firstLine="0" w:firstLineChars="0"/>
              <w:jc w:val="center"/>
              <w:rPr>
                <w:rFonts w:hint="eastAsia"/>
                <w:sz w:val="21"/>
                <w:szCs w:val="21"/>
              </w:rPr>
            </w:pPr>
            <w:r>
              <w:rPr>
                <w:rFonts w:hint="eastAsia"/>
                <w:sz w:val="21"/>
                <w:szCs w:val="21"/>
              </w:rPr>
              <w:t>5</w:t>
            </w:r>
          </w:p>
        </w:tc>
        <w:tc>
          <w:tcPr>
            <w:tcW w:w="2462" w:type="dxa"/>
            <w:vAlign w:val="center"/>
          </w:tcPr>
          <w:p w14:paraId="2D8583CC">
            <w:pPr>
              <w:pStyle w:val="5"/>
              <w:spacing w:line="240" w:lineRule="auto"/>
              <w:ind w:firstLine="0" w:firstLineChars="0"/>
              <w:rPr>
                <w:rFonts w:hint="eastAsia"/>
                <w:sz w:val="21"/>
                <w:szCs w:val="21"/>
              </w:rPr>
            </w:pPr>
            <w:r>
              <w:rPr>
                <w:rFonts w:hint="eastAsia"/>
                <w:sz w:val="21"/>
                <w:szCs w:val="21"/>
              </w:rPr>
              <w:t>发现不达标，每处扣0.5分。扣完该项分值为止。</w:t>
            </w:r>
          </w:p>
        </w:tc>
        <w:tc>
          <w:tcPr>
            <w:tcW w:w="695" w:type="dxa"/>
          </w:tcPr>
          <w:p w14:paraId="5CA3512E">
            <w:pPr>
              <w:pStyle w:val="5"/>
              <w:spacing w:line="240" w:lineRule="auto"/>
              <w:ind w:firstLine="0" w:firstLineChars="0"/>
              <w:rPr>
                <w:rFonts w:hint="eastAsia"/>
                <w:sz w:val="21"/>
                <w:szCs w:val="21"/>
              </w:rPr>
            </w:pPr>
          </w:p>
        </w:tc>
        <w:tc>
          <w:tcPr>
            <w:tcW w:w="883" w:type="dxa"/>
          </w:tcPr>
          <w:p w14:paraId="270016F5">
            <w:pPr>
              <w:pStyle w:val="5"/>
              <w:spacing w:line="240" w:lineRule="auto"/>
              <w:ind w:firstLine="0" w:firstLineChars="0"/>
              <w:rPr>
                <w:rFonts w:hint="eastAsia"/>
                <w:sz w:val="21"/>
                <w:szCs w:val="21"/>
              </w:rPr>
            </w:pPr>
          </w:p>
        </w:tc>
      </w:tr>
      <w:tr w14:paraId="6D87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162B4755">
            <w:pPr>
              <w:pStyle w:val="5"/>
              <w:spacing w:line="240" w:lineRule="auto"/>
              <w:ind w:firstLine="0" w:firstLineChars="0"/>
              <w:jc w:val="center"/>
              <w:rPr>
                <w:rFonts w:hint="eastAsia"/>
                <w:sz w:val="21"/>
                <w:szCs w:val="21"/>
              </w:rPr>
            </w:pPr>
          </w:p>
        </w:tc>
        <w:tc>
          <w:tcPr>
            <w:tcW w:w="806" w:type="dxa"/>
            <w:vMerge w:val="continue"/>
            <w:vAlign w:val="center"/>
          </w:tcPr>
          <w:p w14:paraId="51C34B88">
            <w:pPr>
              <w:pStyle w:val="5"/>
              <w:spacing w:line="240" w:lineRule="auto"/>
              <w:ind w:firstLine="0" w:firstLineChars="0"/>
              <w:jc w:val="center"/>
              <w:rPr>
                <w:rFonts w:hint="eastAsia"/>
                <w:sz w:val="21"/>
                <w:szCs w:val="21"/>
              </w:rPr>
            </w:pPr>
          </w:p>
        </w:tc>
        <w:tc>
          <w:tcPr>
            <w:tcW w:w="2468" w:type="dxa"/>
            <w:vAlign w:val="center"/>
          </w:tcPr>
          <w:p w14:paraId="030A566A">
            <w:pPr>
              <w:pStyle w:val="5"/>
              <w:spacing w:line="240" w:lineRule="auto"/>
              <w:ind w:firstLine="0" w:firstLineChars="0"/>
              <w:rPr>
                <w:rFonts w:hint="eastAsia"/>
                <w:sz w:val="21"/>
                <w:szCs w:val="21"/>
              </w:rPr>
            </w:pPr>
            <w:r>
              <w:rPr>
                <w:rFonts w:hint="eastAsia"/>
                <w:sz w:val="21"/>
                <w:szCs w:val="21"/>
              </w:rPr>
              <w:t>4.中转站内外地面及设备干净整洁，无散落垃圾、无积堆杂物、无积存污水、墙面无明显污迹和积尘；设备干净整洁，无积垢、无吊挂垃圾；定期消毒、灭蝇灭咀，无恶臭,在可视范围内苍蝇应少于3只。</w:t>
            </w:r>
          </w:p>
        </w:tc>
        <w:tc>
          <w:tcPr>
            <w:tcW w:w="560" w:type="dxa"/>
            <w:vAlign w:val="center"/>
          </w:tcPr>
          <w:p w14:paraId="5D895F05">
            <w:pPr>
              <w:pStyle w:val="5"/>
              <w:spacing w:line="240" w:lineRule="auto"/>
              <w:ind w:firstLine="0" w:firstLineChars="0"/>
              <w:jc w:val="center"/>
              <w:rPr>
                <w:rFonts w:hint="eastAsia"/>
                <w:sz w:val="21"/>
                <w:szCs w:val="21"/>
              </w:rPr>
            </w:pPr>
            <w:r>
              <w:rPr>
                <w:rFonts w:hint="eastAsia"/>
                <w:sz w:val="21"/>
                <w:szCs w:val="21"/>
              </w:rPr>
              <w:t>3</w:t>
            </w:r>
          </w:p>
        </w:tc>
        <w:tc>
          <w:tcPr>
            <w:tcW w:w="2462" w:type="dxa"/>
            <w:vAlign w:val="center"/>
          </w:tcPr>
          <w:p w14:paraId="501FC43B">
            <w:pPr>
              <w:pStyle w:val="5"/>
              <w:spacing w:line="240" w:lineRule="auto"/>
              <w:ind w:firstLine="0" w:firstLineChars="0"/>
              <w:rPr>
                <w:rFonts w:hint="eastAsia"/>
                <w:sz w:val="21"/>
                <w:szCs w:val="21"/>
              </w:rPr>
            </w:pPr>
            <w:r>
              <w:rPr>
                <w:rFonts w:hint="eastAsia"/>
                <w:sz w:val="21"/>
                <w:szCs w:val="21"/>
              </w:rPr>
              <w:t>发现不达标，每处扣0.5分。扣完该项分值为止。</w:t>
            </w:r>
          </w:p>
        </w:tc>
        <w:tc>
          <w:tcPr>
            <w:tcW w:w="695" w:type="dxa"/>
          </w:tcPr>
          <w:p w14:paraId="348AE7CC">
            <w:pPr>
              <w:pStyle w:val="5"/>
              <w:spacing w:line="240" w:lineRule="auto"/>
              <w:ind w:firstLine="0" w:firstLineChars="0"/>
              <w:rPr>
                <w:rFonts w:hint="eastAsia"/>
                <w:sz w:val="21"/>
                <w:szCs w:val="21"/>
              </w:rPr>
            </w:pPr>
          </w:p>
        </w:tc>
        <w:tc>
          <w:tcPr>
            <w:tcW w:w="883" w:type="dxa"/>
          </w:tcPr>
          <w:p w14:paraId="1BC3BF8B">
            <w:pPr>
              <w:pStyle w:val="5"/>
              <w:spacing w:line="240" w:lineRule="auto"/>
              <w:ind w:firstLine="0" w:firstLineChars="0"/>
              <w:rPr>
                <w:rFonts w:hint="eastAsia"/>
                <w:sz w:val="21"/>
                <w:szCs w:val="21"/>
              </w:rPr>
            </w:pPr>
          </w:p>
        </w:tc>
      </w:tr>
      <w:tr w14:paraId="3BB3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2F18225E">
            <w:pPr>
              <w:pStyle w:val="5"/>
              <w:spacing w:line="240" w:lineRule="auto"/>
              <w:ind w:firstLine="0" w:firstLineChars="0"/>
              <w:jc w:val="center"/>
              <w:rPr>
                <w:rFonts w:hint="eastAsia"/>
                <w:sz w:val="21"/>
                <w:szCs w:val="21"/>
              </w:rPr>
            </w:pPr>
            <w:r>
              <w:rPr>
                <w:rFonts w:hint="eastAsia"/>
                <w:sz w:val="21"/>
                <w:szCs w:val="21"/>
              </w:rPr>
              <w:t>6</w:t>
            </w:r>
          </w:p>
        </w:tc>
        <w:tc>
          <w:tcPr>
            <w:tcW w:w="806" w:type="dxa"/>
            <w:vMerge w:val="restart"/>
            <w:vAlign w:val="center"/>
          </w:tcPr>
          <w:p w14:paraId="71DCFF66">
            <w:pPr>
              <w:pStyle w:val="5"/>
              <w:spacing w:line="240" w:lineRule="auto"/>
              <w:ind w:firstLine="0" w:firstLineChars="0"/>
              <w:jc w:val="center"/>
              <w:rPr>
                <w:rFonts w:hint="eastAsia"/>
                <w:sz w:val="21"/>
                <w:szCs w:val="21"/>
              </w:rPr>
            </w:pPr>
            <w:r>
              <w:rPr>
                <w:rFonts w:hint="eastAsia"/>
                <w:sz w:val="21"/>
                <w:szCs w:val="21"/>
              </w:rPr>
              <w:t>环卫作业人员管理（4分）</w:t>
            </w:r>
          </w:p>
        </w:tc>
        <w:tc>
          <w:tcPr>
            <w:tcW w:w="2468" w:type="dxa"/>
            <w:vAlign w:val="center"/>
          </w:tcPr>
          <w:p w14:paraId="70F932CE">
            <w:pPr>
              <w:pStyle w:val="5"/>
              <w:spacing w:line="240" w:lineRule="auto"/>
              <w:ind w:firstLine="0" w:firstLineChars="0"/>
              <w:rPr>
                <w:rFonts w:hint="eastAsia"/>
                <w:sz w:val="21"/>
                <w:szCs w:val="21"/>
              </w:rPr>
            </w:pPr>
            <w:r>
              <w:rPr>
                <w:rFonts w:hint="eastAsia"/>
                <w:sz w:val="21"/>
                <w:szCs w:val="21"/>
              </w:rPr>
              <w:t>1.工作期间不迟到、早退、聚岗、聊天、串岗、离岗，作业时不干私活；着装规范、整洁，作业车辆、工具不得随意外借。</w:t>
            </w:r>
          </w:p>
        </w:tc>
        <w:tc>
          <w:tcPr>
            <w:tcW w:w="560" w:type="dxa"/>
            <w:vAlign w:val="center"/>
          </w:tcPr>
          <w:p w14:paraId="16BDC245">
            <w:pPr>
              <w:pStyle w:val="5"/>
              <w:spacing w:line="240" w:lineRule="auto"/>
              <w:ind w:firstLine="0" w:firstLineChars="0"/>
              <w:jc w:val="center"/>
              <w:rPr>
                <w:rFonts w:hint="eastAsia"/>
                <w:sz w:val="21"/>
                <w:szCs w:val="21"/>
              </w:rPr>
            </w:pPr>
            <w:r>
              <w:rPr>
                <w:rFonts w:hint="eastAsia"/>
                <w:sz w:val="21"/>
                <w:szCs w:val="21"/>
              </w:rPr>
              <w:t>2</w:t>
            </w:r>
          </w:p>
        </w:tc>
        <w:tc>
          <w:tcPr>
            <w:tcW w:w="2462" w:type="dxa"/>
            <w:vAlign w:val="center"/>
          </w:tcPr>
          <w:p w14:paraId="4CAB2D54">
            <w:pPr>
              <w:pStyle w:val="5"/>
              <w:spacing w:line="240" w:lineRule="auto"/>
              <w:ind w:firstLine="0" w:firstLineChars="0"/>
              <w:rPr>
                <w:rFonts w:hint="eastAsia"/>
                <w:sz w:val="21"/>
                <w:szCs w:val="21"/>
              </w:rPr>
            </w:pPr>
            <w:r>
              <w:rPr>
                <w:rFonts w:hint="eastAsia"/>
                <w:sz w:val="21"/>
                <w:szCs w:val="21"/>
              </w:rPr>
              <w:t>违反规定，每人次扣0.5分。扣完该分值为止。</w:t>
            </w:r>
          </w:p>
        </w:tc>
        <w:tc>
          <w:tcPr>
            <w:tcW w:w="695" w:type="dxa"/>
          </w:tcPr>
          <w:p w14:paraId="3D46B90C">
            <w:pPr>
              <w:pStyle w:val="5"/>
              <w:spacing w:line="240" w:lineRule="auto"/>
              <w:ind w:firstLine="0" w:firstLineChars="0"/>
              <w:rPr>
                <w:rFonts w:hint="eastAsia"/>
                <w:sz w:val="21"/>
                <w:szCs w:val="21"/>
              </w:rPr>
            </w:pPr>
          </w:p>
        </w:tc>
        <w:tc>
          <w:tcPr>
            <w:tcW w:w="883" w:type="dxa"/>
          </w:tcPr>
          <w:p w14:paraId="3020F506">
            <w:pPr>
              <w:pStyle w:val="5"/>
              <w:spacing w:line="240" w:lineRule="auto"/>
              <w:ind w:firstLine="0" w:firstLineChars="0"/>
              <w:rPr>
                <w:rFonts w:hint="eastAsia"/>
                <w:sz w:val="21"/>
                <w:szCs w:val="21"/>
              </w:rPr>
            </w:pPr>
          </w:p>
        </w:tc>
      </w:tr>
      <w:tr w14:paraId="5D2B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vAlign w:val="center"/>
          </w:tcPr>
          <w:p w14:paraId="30F49BA1">
            <w:pPr>
              <w:pStyle w:val="5"/>
              <w:spacing w:line="240" w:lineRule="auto"/>
              <w:ind w:firstLine="0" w:firstLineChars="0"/>
              <w:jc w:val="center"/>
              <w:rPr>
                <w:rFonts w:hint="eastAsia"/>
                <w:sz w:val="21"/>
                <w:szCs w:val="21"/>
              </w:rPr>
            </w:pPr>
          </w:p>
        </w:tc>
        <w:tc>
          <w:tcPr>
            <w:tcW w:w="806" w:type="dxa"/>
            <w:vMerge w:val="continue"/>
            <w:vAlign w:val="center"/>
          </w:tcPr>
          <w:p w14:paraId="6C0C2FE4">
            <w:pPr>
              <w:pStyle w:val="5"/>
              <w:spacing w:line="240" w:lineRule="auto"/>
              <w:ind w:firstLine="0" w:firstLineChars="0"/>
              <w:jc w:val="center"/>
              <w:rPr>
                <w:rFonts w:hint="eastAsia"/>
                <w:sz w:val="21"/>
                <w:szCs w:val="21"/>
              </w:rPr>
            </w:pPr>
          </w:p>
        </w:tc>
        <w:tc>
          <w:tcPr>
            <w:tcW w:w="2468" w:type="dxa"/>
            <w:vAlign w:val="center"/>
          </w:tcPr>
          <w:p w14:paraId="4BBDC5DB">
            <w:pPr>
              <w:pStyle w:val="5"/>
              <w:spacing w:line="240" w:lineRule="auto"/>
              <w:ind w:firstLine="0" w:firstLineChars="0"/>
              <w:rPr>
                <w:rFonts w:hint="eastAsia"/>
                <w:sz w:val="21"/>
                <w:szCs w:val="21"/>
              </w:rPr>
            </w:pPr>
            <w:r>
              <w:rPr>
                <w:rFonts w:hint="eastAsia"/>
                <w:sz w:val="21"/>
                <w:szCs w:val="21"/>
              </w:rPr>
              <w:t>2.保洁车行驶中不得带人，打电话、吃食物、并列行驶、嬉戏追逐；车辆不带故障作业，晚间作业设警示灯。</w:t>
            </w:r>
          </w:p>
        </w:tc>
        <w:tc>
          <w:tcPr>
            <w:tcW w:w="560" w:type="dxa"/>
            <w:vAlign w:val="center"/>
          </w:tcPr>
          <w:p w14:paraId="2697DFA5">
            <w:pPr>
              <w:pStyle w:val="5"/>
              <w:spacing w:line="240" w:lineRule="auto"/>
              <w:ind w:firstLine="0" w:firstLineChars="0"/>
              <w:jc w:val="center"/>
              <w:rPr>
                <w:rFonts w:hint="eastAsia"/>
                <w:sz w:val="21"/>
                <w:szCs w:val="21"/>
              </w:rPr>
            </w:pPr>
            <w:r>
              <w:rPr>
                <w:rFonts w:hint="eastAsia"/>
                <w:sz w:val="21"/>
                <w:szCs w:val="21"/>
              </w:rPr>
              <w:t>2</w:t>
            </w:r>
          </w:p>
        </w:tc>
        <w:tc>
          <w:tcPr>
            <w:tcW w:w="2462" w:type="dxa"/>
            <w:vAlign w:val="center"/>
          </w:tcPr>
          <w:p w14:paraId="2028B625">
            <w:pPr>
              <w:pStyle w:val="5"/>
              <w:spacing w:line="240" w:lineRule="auto"/>
              <w:ind w:firstLine="0" w:firstLineChars="0"/>
              <w:rPr>
                <w:rFonts w:hint="eastAsia"/>
                <w:sz w:val="21"/>
                <w:szCs w:val="21"/>
              </w:rPr>
            </w:pPr>
            <w:r>
              <w:rPr>
                <w:rFonts w:hint="eastAsia"/>
                <w:sz w:val="21"/>
                <w:szCs w:val="21"/>
              </w:rPr>
              <w:t>违反规定，每人次扣0.5分。扣完该分值为止。</w:t>
            </w:r>
          </w:p>
        </w:tc>
        <w:tc>
          <w:tcPr>
            <w:tcW w:w="695" w:type="dxa"/>
          </w:tcPr>
          <w:p w14:paraId="6BDFCBA8">
            <w:pPr>
              <w:pStyle w:val="5"/>
              <w:spacing w:line="240" w:lineRule="auto"/>
              <w:ind w:firstLine="0" w:firstLineChars="0"/>
              <w:rPr>
                <w:rFonts w:hint="eastAsia"/>
                <w:sz w:val="21"/>
                <w:szCs w:val="21"/>
              </w:rPr>
            </w:pPr>
          </w:p>
        </w:tc>
        <w:tc>
          <w:tcPr>
            <w:tcW w:w="883" w:type="dxa"/>
          </w:tcPr>
          <w:p w14:paraId="2AB95A93">
            <w:pPr>
              <w:pStyle w:val="5"/>
              <w:spacing w:line="240" w:lineRule="auto"/>
              <w:ind w:firstLine="0" w:firstLineChars="0"/>
              <w:rPr>
                <w:rFonts w:hint="eastAsia"/>
                <w:sz w:val="21"/>
                <w:szCs w:val="21"/>
              </w:rPr>
            </w:pPr>
          </w:p>
        </w:tc>
      </w:tr>
      <w:tr w14:paraId="213B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restart"/>
            <w:vAlign w:val="center"/>
          </w:tcPr>
          <w:p w14:paraId="2E5BFF3A">
            <w:pPr>
              <w:pStyle w:val="5"/>
              <w:spacing w:line="240" w:lineRule="auto"/>
              <w:ind w:firstLine="0" w:firstLineChars="0"/>
              <w:jc w:val="center"/>
              <w:rPr>
                <w:rFonts w:hint="eastAsia"/>
                <w:sz w:val="21"/>
                <w:szCs w:val="21"/>
              </w:rPr>
            </w:pPr>
            <w:r>
              <w:rPr>
                <w:rFonts w:hint="eastAsia"/>
                <w:sz w:val="21"/>
                <w:szCs w:val="21"/>
              </w:rPr>
              <w:t>7</w:t>
            </w:r>
          </w:p>
        </w:tc>
        <w:tc>
          <w:tcPr>
            <w:tcW w:w="806" w:type="dxa"/>
            <w:vMerge w:val="restart"/>
            <w:vAlign w:val="center"/>
          </w:tcPr>
          <w:p w14:paraId="094FAB21">
            <w:pPr>
              <w:pStyle w:val="5"/>
              <w:spacing w:line="240" w:lineRule="auto"/>
              <w:ind w:firstLine="0" w:firstLineChars="0"/>
              <w:jc w:val="center"/>
              <w:rPr>
                <w:rFonts w:hint="eastAsia"/>
                <w:sz w:val="21"/>
                <w:szCs w:val="21"/>
              </w:rPr>
            </w:pPr>
            <w:r>
              <w:rPr>
                <w:rFonts w:hint="eastAsia"/>
                <w:sz w:val="21"/>
                <w:szCs w:val="21"/>
              </w:rPr>
              <w:t>曝光投诉（6分）</w:t>
            </w:r>
          </w:p>
        </w:tc>
        <w:tc>
          <w:tcPr>
            <w:tcW w:w="2468" w:type="dxa"/>
            <w:vAlign w:val="center"/>
          </w:tcPr>
          <w:p w14:paraId="42C755AF">
            <w:pPr>
              <w:pStyle w:val="5"/>
              <w:spacing w:line="240" w:lineRule="auto"/>
              <w:ind w:firstLine="0" w:firstLineChars="0"/>
              <w:rPr>
                <w:rFonts w:hint="eastAsia"/>
                <w:sz w:val="21"/>
                <w:szCs w:val="21"/>
              </w:rPr>
            </w:pPr>
            <w:r>
              <w:rPr>
                <w:rFonts w:hint="eastAsia"/>
                <w:sz w:val="21"/>
                <w:szCs w:val="21"/>
              </w:rPr>
              <w:t>1.对微信城管监督指挥中心下达的案件，在规定时间完成案件处置任务。</w:t>
            </w:r>
          </w:p>
        </w:tc>
        <w:tc>
          <w:tcPr>
            <w:tcW w:w="560" w:type="dxa"/>
            <w:vAlign w:val="center"/>
          </w:tcPr>
          <w:p w14:paraId="35CCDA04">
            <w:pPr>
              <w:pStyle w:val="5"/>
              <w:spacing w:line="240" w:lineRule="auto"/>
              <w:ind w:firstLine="0" w:firstLineChars="0"/>
              <w:jc w:val="center"/>
              <w:rPr>
                <w:rFonts w:hint="eastAsia"/>
                <w:sz w:val="21"/>
                <w:szCs w:val="21"/>
              </w:rPr>
            </w:pPr>
            <w:r>
              <w:rPr>
                <w:rFonts w:hint="eastAsia"/>
                <w:sz w:val="21"/>
                <w:szCs w:val="21"/>
              </w:rPr>
              <w:t>3</w:t>
            </w:r>
          </w:p>
        </w:tc>
        <w:tc>
          <w:tcPr>
            <w:tcW w:w="2462" w:type="dxa"/>
            <w:vAlign w:val="center"/>
          </w:tcPr>
          <w:p w14:paraId="273E568D">
            <w:pPr>
              <w:pStyle w:val="5"/>
              <w:spacing w:line="240" w:lineRule="auto"/>
              <w:ind w:firstLine="0" w:firstLineChars="0"/>
              <w:rPr>
                <w:rFonts w:hint="eastAsia"/>
                <w:sz w:val="21"/>
                <w:szCs w:val="21"/>
              </w:rPr>
            </w:pPr>
            <w:r>
              <w:rPr>
                <w:rFonts w:hint="eastAsia"/>
                <w:sz w:val="21"/>
                <w:szCs w:val="21"/>
              </w:rPr>
              <w:t>在规定时间内未完成处置任务的，每件每次扣0.5分。扣完该分值为止。</w:t>
            </w:r>
          </w:p>
        </w:tc>
        <w:tc>
          <w:tcPr>
            <w:tcW w:w="695" w:type="dxa"/>
          </w:tcPr>
          <w:p w14:paraId="5D52D24C">
            <w:pPr>
              <w:pStyle w:val="5"/>
              <w:spacing w:line="240" w:lineRule="auto"/>
              <w:ind w:firstLine="0" w:firstLineChars="0"/>
              <w:rPr>
                <w:rFonts w:hint="eastAsia"/>
                <w:sz w:val="21"/>
                <w:szCs w:val="21"/>
              </w:rPr>
            </w:pPr>
          </w:p>
        </w:tc>
        <w:tc>
          <w:tcPr>
            <w:tcW w:w="883" w:type="dxa"/>
          </w:tcPr>
          <w:p w14:paraId="550FDED6">
            <w:pPr>
              <w:pStyle w:val="5"/>
              <w:spacing w:line="240" w:lineRule="auto"/>
              <w:ind w:firstLine="0" w:firstLineChars="0"/>
              <w:rPr>
                <w:rFonts w:hint="eastAsia"/>
                <w:sz w:val="21"/>
                <w:szCs w:val="21"/>
              </w:rPr>
            </w:pPr>
          </w:p>
        </w:tc>
      </w:tr>
      <w:tr w14:paraId="2579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vMerge w:val="continue"/>
          </w:tcPr>
          <w:p w14:paraId="46425C99">
            <w:pPr>
              <w:pStyle w:val="5"/>
              <w:spacing w:line="240" w:lineRule="auto"/>
              <w:ind w:firstLine="0" w:firstLineChars="0"/>
              <w:rPr>
                <w:rFonts w:hint="eastAsia"/>
                <w:sz w:val="21"/>
                <w:szCs w:val="21"/>
              </w:rPr>
            </w:pPr>
          </w:p>
        </w:tc>
        <w:tc>
          <w:tcPr>
            <w:tcW w:w="806" w:type="dxa"/>
            <w:vMerge w:val="continue"/>
          </w:tcPr>
          <w:p w14:paraId="0F723FA1">
            <w:pPr>
              <w:pStyle w:val="5"/>
              <w:spacing w:line="240" w:lineRule="auto"/>
              <w:ind w:firstLine="0" w:firstLineChars="0"/>
              <w:rPr>
                <w:rFonts w:hint="eastAsia"/>
                <w:sz w:val="21"/>
                <w:szCs w:val="21"/>
              </w:rPr>
            </w:pPr>
          </w:p>
        </w:tc>
        <w:tc>
          <w:tcPr>
            <w:tcW w:w="2468" w:type="dxa"/>
            <w:vAlign w:val="center"/>
          </w:tcPr>
          <w:p w14:paraId="7955575A">
            <w:pPr>
              <w:pStyle w:val="5"/>
              <w:spacing w:line="240" w:lineRule="auto"/>
              <w:ind w:firstLine="0" w:firstLineChars="0"/>
              <w:rPr>
                <w:rFonts w:hint="eastAsia"/>
                <w:sz w:val="21"/>
                <w:szCs w:val="21"/>
              </w:rPr>
            </w:pPr>
            <w:r>
              <w:rPr>
                <w:rFonts w:hint="eastAsia"/>
                <w:sz w:val="21"/>
                <w:szCs w:val="21"/>
              </w:rPr>
              <w:t>2.无群众投诉，无媒体曝光，无被通报批评。</w:t>
            </w:r>
          </w:p>
        </w:tc>
        <w:tc>
          <w:tcPr>
            <w:tcW w:w="560" w:type="dxa"/>
            <w:vAlign w:val="center"/>
          </w:tcPr>
          <w:p w14:paraId="3F8D4B16">
            <w:pPr>
              <w:pStyle w:val="5"/>
              <w:spacing w:line="240" w:lineRule="auto"/>
              <w:ind w:firstLine="0" w:firstLineChars="0"/>
              <w:jc w:val="center"/>
              <w:rPr>
                <w:rFonts w:hint="eastAsia"/>
                <w:sz w:val="21"/>
                <w:szCs w:val="21"/>
              </w:rPr>
            </w:pPr>
            <w:r>
              <w:rPr>
                <w:rFonts w:hint="eastAsia"/>
                <w:sz w:val="21"/>
                <w:szCs w:val="21"/>
              </w:rPr>
              <w:t>3</w:t>
            </w:r>
          </w:p>
        </w:tc>
        <w:tc>
          <w:tcPr>
            <w:tcW w:w="2462" w:type="dxa"/>
            <w:vAlign w:val="center"/>
          </w:tcPr>
          <w:p w14:paraId="2514F85B">
            <w:pPr>
              <w:pStyle w:val="5"/>
              <w:spacing w:line="240" w:lineRule="auto"/>
              <w:ind w:firstLine="0" w:firstLineChars="0"/>
              <w:rPr>
                <w:rFonts w:hint="eastAsia"/>
                <w:sz w:val="21"/>
                <w:szCs w:val="21"/>
              </w:rPr>
            </w:pPr>
            <w:r>
              <w:rPr>
                <w:rFonts w:hint="eastAsia"/>
                <w:sz w:val="21"/>
                <w:szCs w:val="21"/>
              </w:rPr>
              <w:t>有群众投诉且经查属实，每件每次扣0.5分。存在问题被媒体曝光及被上级领导、部门通报批评，每件每次扣1分。扣完该分值为止。</w:t>
            </w:r>
          </w:p>
        </w:tc>
        <w:tc>
          <w:tcPr>
            <w:tcW w:w="695" w:type="dxa"/>
          </w:tcPr>
          <w:p w14:paraId="79188675">
            <w:pPr>
              <w:pStyle w:val="5"/>
              <w:spacing w:line="240" w:lineRule="auto"/>
              <w:ind w:firstLine="0" w:firstLineChars="0"/>
              <w:rPr>
                <w:rFonts w:hint="eastAsia"/>
                <w:sz w:val="21"/>
                <w:szCs w:val="21"/>
              </w:rPr>
            </w:pPr>
          </w:p>
        </w:tc>
        <w:tc>
          <w:tcPr>
            <w:tcW w:w="883" w:type="dxa"/>
          </w:tcPr>
          <w:p w14:paraId="6960266F">
            <w:pPr>
              <w:pStyle w:val="5"/>
              <w:spacing w:line="240" w:lineRule="auto"/>
              <w:ind w:firstLine="0" w:firstLineChars="0"/>
              <w:rPr>
                <w:rFonts w:hint="eastAsia"/>
                <w:sz w:val="21"/>
                <w:szCs w:val="21"/>
              </w:rPr>
            </w:pPr>
          </w:p>
        </w:tc>
      </w:tr>
      <w:tr w14:paraId="5F2C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234" w:type="dxa"/>
            <w:gridSpan w:val="2"/>
            <w:vAlign w:val="center"/>
          </w:tcPr>
          <w:p w14:paraId="76AC7FA9">
            <w:pPr>
              <w:pStyle w:val="5"/>
              <w:spacing w:line="240" w:lineRule="auto"/>
              <w:ind w:firstLine="0" w:firstLineChars="0"/>
              <w:jc w:val="center"/>
              <w:rPr>
                <w:rFonts w:hint="eastAsia"/>
                <w:sz w:val="21"/>
                <w:szCs w:val="21"/>
              </w:rPr>
            </w:pPr>
            <w:r>
              <w:rPr>
                <w:rFonts w:hint="eastAsia"/>
                <w:sz w:val="21"/>
                <w:szCs w:val="21"/>
              </w:rPr>
              <w:t>合计</w:t>
            </w:r>
          </w:p>
        </w:tc>
        <w:tc>
          <w:tcPr>
            <w:tcW w:w="2468" w:type="dxa"/>
            <w:vAlign w:val="center"/>
          </w:tcPr>
          <w:p w14:paraId="6E28E3B7">
            <w:pPr>
              <w:pStyle w:val="5"/>
              <w:spacing w:line="240" w:lineRule="auto"/>
              <w:ind w:firstLine="0" w:firstLineChars="0"/>
              <w:jc w:val="center"/>
              <w:rPr>
                <w:rFonts w:hint="eastAsia"/>
                <w:sz w:val="21"/>
                <w:szCs w:val="21"/>
              </w:rPr>
            </w:pPr>
          </w:p>
        </w:tc>
        <w:tc>
          <w:tcPr>
            <w:tcW w:w="560" w:type="dxa"/>
            <w:vAlign w:val="center"/>
          </w:tcPr>
          <w:p w14:paraId="43500813">
            <w:pPr>
              <w:pStyle w:val="5"/>
              <w:spacing w:line="240" w:lineRule="auto"/>
              <w:ind w:firstLine="0" w:firstLineChars="0"/>
              <w:jc w:val="center"/>
              <w:rPr>
                <w:rFonts w:hint="eastAsia"/>
                <w:sz w:val="21"/>
                <w:szCs w:val="21"/>
              </w:rPr>
            </w:pPr>
          </w:p>
        </w:tc>
        <w:tc>
          <w:tcPr>
            <w:tcW w:w="2462" w:type="dxa"/>
            <w:vAlign w:val="center"/>
          </w:tcPr>
          <w:p w14:paraId="265858EC">
            <w:pPr>
              <w:pStyle w:val="5"/>
              <w:spacing w:line="240" w:lineRule="auto"/>
              <w:ind w:firstLine="0" w:firstLineChars="0"/>
              <w:jc w:val="center"/>
              <w:rPr>
                <w:rFonts w:hint="eastAsia"/>
                <w:sz w:val="21"/>
                <w:szCs w:val="21"/>
              </w:rPr>
            </w:pPr>
          </w:p>
        </w:tc>
        <w:tc>
          <w:tcPr>
            <w:tcW w:w="695" w:type="dxa"/>
            <w:vAlign w:val="center"/>
          </w:tcPr>
          <w:p w14:paraId="1A06C927">
            <w:pPr>
              <w:pStyle w:val="5"/>
              <w:spacing w:line="240" w:lineRule="auto"/>
              <w:ind w:firstLine="0" w:firstLineChars="0"/>
              <w:jc w:val="center"/>
              <w:rPr>
                <w:rFonts w:hint="eastAsia"/>
                <w:sz w:val="21"/>
                <w:szCs w:val="21"/>
              </w:rPr>
            </w:pPr>
          </w:p>
        </w:tc>
        <w:tc>
          <w:tcPr>
            <w:tcW w:w="883" w:type="dxa"/>
            <w:vAlign w:val="center"/>
          </w:tcPr>
          <w:p w14:paraId="0E8ECD93">
            <w:pPr>
              <w:pStyle w:val="5"/>
              <w:spacing w:line="240" w:lineRule="auto"/>
              <w:ind w:firstLine="0" w:firstLineChars="0"/>
              <w:jc w:val="center"/>
              <w:rPr>
                <w:rFonts w:hint="eastAsia"/>
                <w:sz w:val="21"/>
                <w:szCs w:val="21"/>
              </w:rPr>
            </w:pPr>
          </w:p>
        </w:tc>
      </w:tr>
    </w:tbl>
    <w:p w14:paraId="23BE5A3D">
      <w:pPr>
        <w:pStyle w:val="5"/>
        <w:ind w:firstLine="0" w:firstLineChars="0"/>
        <w:rPr>
          <w:rFonts w:hint="eastAsia"/>
        </w:rPr>
      </w:pPr>
    </w:p>
    <w:p w14:paraId="0412CAD5">
      <w:pPr>
        <w:pStyle w:val="5"/>
        <w:ind w:firstLine="0" w:firstLineChars="0"/>
        <w:rPr>
          <w:rFonts w:hint="eastAsia"/>
        </w:rPr>
      </w:pPr>
      <w:r>
        <w:rPr>
          <w:rFonts w:hint="eastAsia"/>
        </w:rPr>
        <w:t>考评组签名：</w:t>
      </w:r>
    </w:p>
    <w:p w14:paraId="2D31385D">
      <w:pPr>
        <w:pStyle w:val="5"/>
        <w:ind w:firstLine="560"/>
        <w:rPr>
          <w:rFonts w:hint="eastAsia"/>
        </w:rPr>
        <w:sectPr>
          <w:pgSz w:w="11906" w:h="16838"/>
          <w:pgMar w:top="1440" w:right="1797" w:bottom="1440" w:left="1797" w:header="851" w:footer="992" w:gutter="0"/>
          <w:cols w:space="425" w:num="1"/>
          <w:docGrid w:linePitch="381" w:charSpace="0"/>
        </w:sectPr>
      </w:pPr>
    </w:p>
    <w:p w14:paraId="06E38B7F">
      <w:pPr>
        <w:pStyle w:val="5"/>
        <w:ind w:firstLine="0" w:firstLineChars="0"/>
        <w:jc w:val="center"/>
        <w:rPr>
          <w:rFonts w:hint="eastAsia"/>
          <w:b/>
          <w:bCs/>
        </w:rPr>
      </w:pPr>
      <w:r>
        <w:rPr>
          <w:rFonts w:hint="eastAsia"/>
          <w:b/>
          <w:bCs/>
        </w:rPr>
        <w:t>托里县公园广场服务外包经济考核细则</w:t>
      </w:r>
    </w:p>
    <w:p w14:paraId="29411691">
      <w:pPr>
        <w:pStyle w:val="5"/>
        <w:ind w:firstLine="560"/>
        <w:rPr>
          <w:rFonts w:hint="eastAsia"/>
        </w:rPr>
      </w:pPr>
    </w:p>
    <w:p w14:paraId="21270CD8">
      <w:pPr>
        <w:pStyle w:val="5"/>
        <w:ind w:firstLine="562"/>
        <w:jc w:val="center"/>
        <w:rPr>
          <w:rFonts w:hint="eastAsia"/>
          <w:b/>
          <w:bCs/>
        </w:rPr>
      </w:pPr>
      <w:r>
        <w:rPr>
          <w:rFonts w:hint="eastAsia"/>
          <w:b/>
          <w:bCs/>
        </w:rPr>
        <w:t>第一章  清扫保洁考核</w:t>
      </w:r>
    </w:p>
    <w:p w14:paraId="36EFC07C">
      <w:pPr>
        <w:pStyle w:val="5"/>
        <w:numPr>
          <w:ilvl w:val="0"/>
          <w:numId w:val="13"/>
        </w:numPr>
        <w:ind w:left="0" w:firstLine="198" w:firstLineChars="0"/>
        <w:rPr>
          <w:rFonts w:hint="eastAsia"/>
        </w:rPr>
      </w:pPr>
      <w:r>
        <w:rPr>
          <w:rFonts w:hint="eastAsia"/>
        </w:rPr>
        <w:t>按要求着装，不得挎包、穿拖鞋，不得打伞、着裙装上班；不做与工作不相符的事，发现相关情况处罚100元/次，3次及以上双倍处理。不得坐岗、串岗，非本单位工作人员严禁进入休息室，一经发现处罚100元/次。</w:t>
      </w:r>
    </w:p>
    <w:p w14:paraId="485068A0">
      <w:pPr>
        <w:pStyle w:val="5"/>
        <w:numPr>
          <w:ilvl w:val="0"/>
          <w:numId w:val="13"/>
        </w:numPr>
        <w:ind w:left="0" w:firstLine="198" w:firstLineChars="0"/>
        <w:rPr>
          <w:rFonts w:hint="eastAsia"/>
        </w:rPr>
      </w:pPr>
      <w:r>
        <w:rPr>
          <w:rFonts w:hint="eastAsia"/>
        </w:rPr>
        <w:t>责任区域有明显暴露垃圾落地时间不得超过10分钟，累计5处以上的处罚50元/处。</w:t>
      </w:r>
    </w:p>
    <w:p w14:paraId="6E004440">
      <w:pPr>
        <w:pStyle w:val="5"/>
        <w:numPr>
          <w:ilvl w:val="0"/>
          <w:numId w:val="13"/>
        </w:numPr>
        <w:ind w:left="0" w:firstLine="198" w:firstLineChars="0"/>
        <w:rPr>
          <w:rFonts w:hint="eastAsia"/>
        </w:rPr>
      </w:pPr>
      <w:r>
        <w:rPr>
          <w:rFonts w:hint="eastAsia"/>
        </w:rPr>
        <w:t xml:space="preserve">公园广场清扫的垃圾及时清运到指定地点，严禁将垃圾倒入绿化带内，严禁在园区、垃圾池焚烧垃圾，发现处罚1000元/处。 </w:t>
      </w:r>
    </w:p>
    <w:p w14:paraId="4CB8D173">
      <w:pPr>
        <w:pStyle w:val="5"/>
        <w:numPr>
          <w:ilvl w:val="0"/>
          <w:numId w:val="13"/>
        </w:numPr>
        <w:ind w:left="0" w:firstLine="198" w:firstLineChars="0"/>
        <w:rPr>
          <w:rFonts w:hint="eastAsia"/>
        </w:rPr>
      </w:pPr>
      <w:r>
        <w:rPr>
          <w:rFonts w:hint="eastAsia"/>
        </w:rPr>
        <w:t xml:space="preserve">普扫 </w:t>
      </w:r>
    </w:p>
    <w:p w14:paraId="25FDEE50">
      <w:pPr>
        <w:pStyle w:val="5"/>
        <w:ind w:firstLine="560"/>
        <w:rPr>
          <w:rFonts w:hint="eastAsia"/>
        </w:rPr>
      </w:pPr>
      <w:r>
        <w:rPr>
          <w:rFonts w:hint="eastAsia"/>
        </w:rPr>
        <w:t>（一）未按频次普扫的，发现一次处罚500元/次。</w:t>
      </w:r>
    </w:p>
    <w:p w14:paraId="1F631500">
      <w:pPr>
        <w:pStyle w:val="5"/>
        <w:ind w:firstLine="560"/>
        <w:rPr>
          <w:rFonts w:hint="eastAsia"/>
        </w:rPr>
      </w:pPr>
      <w:r>
        <w:rPr>
          <w:rFonts w:hint="eastAsia"/>
        </w:rPr>
        <w:t>（二）未按时完成普扫的，处罚100元/次。</w:t>
      </w:r>
    </w:p>
    <w:p w14:paraId="372F99FC">
      <w:pPr>
        <w:pStyle w:val="5"/>
        <w:ind w:firstLine="560"/>
        <w:rPr>
          <w:rFonts w:hint="eastAsia"/>
        </w:rPr>
      </w:pPr>
      <w:r>
        <w:rPr>
          <w:rFonts w:hint="eastAsia"/>
        </w:rPr>
        <w:t>（三）责任区花台内有明显垃圾超过5处，视为未按时普扫处罚100元/次。</w:t>
      </w:r>
    </w:p>
    <w:p w14:paraId="18D2FAB2">
      <w:pPr>
        <w:pStyle w:val="5"/>
        <w:numPr>
          <w:ilvl w:val="0"/>
          <w:numId w:val="13"/>
        </w:numPr>
        <w:ind w:left="0" w:firstLine="198" w:firstLineChars="0"/>
        <w:rPr>
          <w:rFonts w:hint="eastAsia"/>
        </w:rPr>
      </w:pPr>
      <w:r>
        <w:rPr>
          <w:rFonts w:hint="eastAsia"/>
        </w:rPr>
        <w:t>如发现保洁员将清扫的垃圾和沙土倾倒在绿化带内，处罚100元/次。</w:t>
      </w:r>
    </w:p>
    <w:p w14:paraId="2FEBF1D3">
      <w:pPr>
        <w:pStyle w:val="5"/>
        <w:numPr>
          <w:ilvl w:val="0"/>
          <w:numId w:val="13"/>
        </w:numPr>
        <w:ind w:left="0" w:firstLine="198" w:firstLineChars="0"/>
        <w:rPr>
          <w:rFonts w:hint="eastAsia"/>
        </w:rPr>
      </w:pPr>
      <w:r>
        <w:rPr>
          <w:rFonts w:hint="eastAsia"/>
        </w:rPr>
        <w:t>保洁时检查到没巡回走动且保洁区域有明显暴露垃圾，处罚100元/处。</w:t>
      </w:r>
    </w:p>
    <w:p w14:paraId="1084E356">
      <w:pPr>
        <w:pStyle w:val="5"/>
        <w:numPr>
          <w:ilvl w:val="0"/>
          <w:numId w:val="13"/>
        </w:numPr>
        <w:ind w:left="0" w:firstLine="198" w:firstLineChars="0"/>
        <w:rPr>
          <w:rFonts w:hint="eastAsia"/>
        </w:rPr>
      </w:pPr>
      <w:r>
        <w:rPr>
          <w:rFonts w:hint="eastAsia"/>
        </w:rPr>
        <w:t>清扫保洁人员在做好清扫保洁工作的同时，必须配合管理人员开展园内文明劝导工作。一经发现拒不配合工作的，处罚100元/次。</w:t>
      </w:r>
    </w:p>
    <w:p w14:paraId="475AE780">
      <w:pPr>
        <w:pStyle w:val="5"/>
        <w:numPr>
          <w:ilvl w:val="0"/>
          <w:numId w:val="13"/>
        </w:numPr>
        <w:ind w:left="0" w:firstLine="198" w:firstLineChars="0"/>
        <w:rPr>
          <w:rFonts w:hint="eastAsia"/>
        </w:rPr>
      </w:pPr>
      <w:r>
        <w:rPr>
          <w:rFonts w:hint="eastAsia"/>
        </w:rPr>
        <w:t>清扫保洁人员与公园内游客吵架、争吵的，不管何种原因，处罚100元/次。</w:t>
      </w:r>
    </w:p>
    <w:p w14:paraId="7CD52BA1">
      <w:pPr>
        <w:pStyle w:val="5"/>
        <w:numPr>
          <w:ilvl w:val="0"/>
          <w:numId w:val="13"/>
        </w:numPr>
        <w:ind w:left="0" w:firstLine="198" w:firstLineChars="0"/>
        <w:rPr>
          <w:rFonts w:hint="eastAsia"/>
        </w:rPr>
      </w:pPr>
      <w:r>
        <w:rPr>
          <w:rFonts w:hint="eastAsia"/>
        </w:rPr>
        <w:t>公园公厕的清洁，检查到不达标的，处罚100元/处；公厕内公共设施（照明、便槽、隔离板、冲水器、水龙头、整容镜、洗手台等）发现有损坏，未及时报告，一经发现处罚100元/次。</w:t>
      </w:r>
    </w:p>
    <w:p w14:paraId="1BCA5B9A">
      <w:pPr>
        <w:pStyle w:val="5"/>
        <w:ind w:firstLine="562"/>
        <w:jc w:val="center"/>
        <w:rPr>
          <w:rFonts w:hint="eastAsia"/>
          <w:b/>
          <w:bCs/>
        </w:rPr>
      </w:pPr>
      <w:r>
        <w:rPr>
          <w:rFonts w:hint="eastAsia"/>
          <w:b/>
          <w:bCs/>
        </w:rPr>
        <w:t>第二章  绿化考核</w:t>
      </w:r>
    </w:p>
    <w:p w14:paraId="3BE5CE15">
      <w:pPr>
        <w:pStyle w:val="5"/>
        <w:numPr>
          <w:ilvl w:val="0"/>
          <w:numId w:val="13"/>
        </w:numPr>
        <w:ind w:left="0" w:firstLine="198" w:firstLineChars="0"/>
        <w:rPr>
          <w:rFonts w:hint="eastAsia"/>
        </w:rPr>
      </w:pPr>
      <w:r>
        <w:rPr>
          <w:rFonts w:hint="eastAsia"/>
        </w:rPr>
        <w:t>绿篱修剪要保证线条流畅，轮廓分明；小乔木修剪要保证树形美观；大乔木要清除干枯树枝。发现应修未修的情况累计3次以上处罚1000元。</w:t>
      </w:r>
    </w:p>
    <w:p w14:paraId="30D8D27C">
      <w:pPr>
        <w:pStyle w:val="5"/>
        <w:numPr>
          <w:ilvl w:val="0"/>
          <w:numId w:val="13"/>
        </w:numPr>
        <w:ind w:left="0" w:firstLine="198" w:firstLineChars="0"/>
        <w:rPr>
          <w:rFonts w:hint="eastAsia"/>
        </w:rPr>
      </w:pPr>
      <w:r>
        <w:rPr>
          <w:rFonts w:hint="eastAsia"/>
        </w:rPr>
        <w:t>修枝整形后的枝条，必须立即清除，确保公园广场卫生整洁，处理不彻底处罚100元/次。</w:t>
      </w:r>
    </w:p>
    <w:p w14:paraId="6DFC4C65">
      <w:pPr>
        <w:pStyle w:val="5"/>
        <w:numPr>
          <w:ilvl w:val="0"/>
          <w:numId w:val="13"/>
        </w:numPr>
        <w:ind w:left="0" w:firstLine="198" w:firstLineChars="0"/>
        <w:rPr>
          <w:rFonts w:hint="eastAsia"/>
        </w:rPr>
      </w:pPr>
      <w:r>
        <w:rPr>
          <w:rFonts w:hint="eastAsia"/>
        </w:rPr>
        <w:t>园内的花木，未经允许，不得擅自处理或移送他人，发现1次按经济损失的5倍予以处罚。</w:t>
      </w:r>
    </w:p>
    <w:p w14:paraId="178AEB55">
      <w:pPr>
        <w:pStyle w:val="5"/>
        <w:numPr>
          <w:ilvl w:val="0"/>
          <w:numId w:val="13"/>
        </w:numPr>
        <w:ind w:left="0" w:firstLine="198" w:firstLineChars="0"/>
        <w:rPr>
          <w:rFonts w:hint="eastAsia"/>
        </w:rPr>
      </w:pPr>
      <w:r>
        <w:rPr>
          <w:rFonts w:hint="eastAsia"/>
        </w:rPr>
        <w:t xml:space="preserve">日常养护必须保证花园在可视范围内无枯枝、乱石和成片（0.5平米及以上）杂草。一经发现，处罚现金500元/处。 </w:t>
      </w:r>
    </w:p>
    <w:p w14:paraId="72AEB48A">
      <w:pPr>
        <w:pStyle w:val="5"/>
        <w:numPr>
          <w:ilvl w:val="0"/>
          <w:numId w:val="13"/>
        </w:numPr>
        <w:ind w:left="0" w:firstLine="198" w:firstLineChars="0"/>
        <w:rPr>
          <w:rFonts w:hint="eastAsia"/>
        </w:rPr>
      </w:pPr>
      <w:r>
        <w:rPr>
          <w:rFonts w:hint="eastAsia"/>
        </w:rPr>
        <w:t>未按领导要求开展工作造成损失的，除承担直接经济损失外，处罚2000元/次。</w:t>
      </w:r>
    </w:p>
    <w:p w14:paraId="35D8CDA2">
      <w:pPr>
        <w:pStyle w:val="5"/>
        <w:numPr>
          <w:ilvl w:val="0"/>
          <w:numId w:val="13"/>
        </w:numPr>
        <w:ind w:left="0" w:firstLine="198" w:firstLineChars="0"/>
        <w:rPr>
          <w:rFonts w:hint="eastAsia"/>
        </w:rPr>
      </w:pPr>
      <w:r>
        <w:rPr>
          <w:rFonts w:hint="eastAsia"/>
        </w:rPr>
        <w:t>以上条款所列内容，由托里县公园广场所每月开展巡查考核，并不定期增加检查频次，所列处罚金额每月累计汇总后在外包服务费中扣除，若外包服务单位涉及违反国家其他法律法规规定，并造成的法律责任和经济损失全部由外包服务单位承担。</w:t>
      </w:r>
    </w:p>
    <w:p w14:paraId="11D01536">
      <w:pPr>
        <w:pStyle w:val="5"/>
        <w:numPr>
          <w:ilvl w:val="0"/>
          <w:numId w:val="13"/>
        </w:numPr>
        <w:ind w:left="0" w:firstLine="198" w:firstLineChars="0"/>
        <w:rPr>
          <w:rFonts w:hint="eastAsia"/>
        </w:rPr>
      </w:pPr>
      <w:r>
        <w:rPr>
          <w:rFonts w:hint="eastAsia"/>
        </w:rPr>
        <w:t>以上条款为托里县公园广场管理所针对服务外包制定的经济考核条款，参与托里县公园广场管理所的公园服务外包投标即视为同意以上考核条款，该条款解释权归托里县公园广场管理所。</w:t>
      </w:r>
    </w:p>
    <w:p w14:paraId="713C2F13">
      <w:pPr>
        <w:pStyle w:val="5"/>
        <w:ind w:firstLine="560"/>
        <w:rPr>
          <w:rFonts w:hint="eastAsia"/>
        </w:rPr>
      </w:pPr>
    </w:p>
    <w:p w14:paraId="53EA038E">
      <w:pPr>
        <w:pStyle w:val="5"/>
        <w:ind w:firstLine="560"/>
        <w:rPr>
          <w:rFonts w:hint="eastAsia"/>
        </w:rPr>
        <w:sectPr>
          <w:pgSz w:w="11906" w:h="16838"/>
          <w:pgMar w:top="1440" w:right="1797" w:bottom="1440" w:left="1797" w:header="851" w:footer="992" w:gutter="0"/>
          <w:cols w:space="425" w:num="1"/>
          <w:docGrid w:linePitch="381" w:charSpace="0"/>
        </w:sectPr>
      </w:pPr>
    </w:p>
    <w:p w14:paraId="3E22C905">
      <w:pPr>
        <w:pStyle w:val="5"/>
        <w:ind w:firstLine="0" w:firstLineChars="0"/>
        <w:jc w:val="center"/>
        <w:rPr>
          <w:rFonts w:hint="eastAsia"/>
          <w:b/>
          <w:bCs/>
        </w:rPr>
      </w:pPr>
      <w:r>
        <w:rPr>
          <w:rFonts w:hint="eastAsia"/>
          <w:b/>
          <w:bCs/>
        </w:rPr>
        <w:t>托里县城市园林</w:t>
      </w:r>
      <w:r>
        <w:rPr>
          <w:b/>
          <w:bCs/>
        </w:rPr>
        <w:t>绿化管护考核细则</w:t>
      </w:r>
    </w:p>
    <w:p w14:paraId="02F99368">
      <w:pPr>
        <w:pStyle w:val="16"/>
        <w:spacing w:line="252" w:lineRule="auto"/>
      </w:pPr>
    </w:p>
    <w:p w14:paraId="2ABEAB07">
      <w:pPr>
        <w:ind w:firstLine="560" w:firstLineChars="200"/>
        <w:rPr>
          <w:rFonts w:hint="eastAsia" w:ascii="仿宋_GB2312" w:hAnsi="宋体" w:eastAsia="仿宋_GB2312" w:cs="黑体"/>
          <w:szCs w:val="28"/>
        </w:rPr>
      </w:pPr>
      <w:r>
        <w:rPr>
          <w:rFonts w:hint="eastAsia" w:ascii="仿宋_GB2312" w:hAnsi="宋体" w:eastAsia="仿宋_GB2312" w:cs="黑体"/>
          <w:szCs w:val="28"/>
        </w:rPr>
        <w:t>为保证管辖范围内园林绿化管理的各项规定能贯彻执行，使绿化管理工作达到管护标准，根据《城市园林绿化养护管理标准》,按照公平、公正、公开的原则，制定本细则。</w:t>
      </w:r>
    </w:p>
    <w:p w14:paraId="1A5CC106">
      <w:pPr>
        <w:pStyle w:val="5"/>
        <w:ind w:firstLine="0" w:firstLineChars="0"/>
        <w:rPr>
          <w:rFonts w:hint="eastAsia"/>
          <w:b/>
          <w:bCs/>
        </w:rPr>
      </w:pPr>
      <w:r>
        <w:rPr>
          <w:b/>
          <w:bCs/>
        </w:rPr>
        <w:t>一、乔木的检查考核标准</w:t>
      </w:r>
    </w:p>
    <w:p w14:paraId="3EA6E0DB">
      <w:pPr>
        <w:pStyle w:val="5"/>
        <w:ind w:firstLine="560"/>
        <w:rPr>
          <w:rFonts w:hint="eastAsia"/>
        </w:rPr>
      </w:pPr>
      <w:r>
        <w:t>1.灌水与排涝</w:t>
      </w:r>
    </w:p>
    <w:p w14:paraId="7DDD87CE">
      <w:pPr>
        <w:pStyle w:val="5"/>
        <w:ind w:firstLine="560"/>
        <w:rPr>
          <w:rFonts w:hint="eastAsia"/>
        </w:rPr>
      </w:pPr>
      <w:r>
        <w:t>根据树种、树龄、季节和立地条件进行适时适量浇水。干旱季节多灌，雨季少灌或不灌；发芽生长期可多灌，休眠期前适当控制水量。及时排除树塘内积水，雨季树塘内不能积水，对不耐湿的乔木应在12小时内排除积水。每项一处一次扣1分。</w:t>
      </w:r>
    </w:p>
    <w:p w14:paraId="042A7134">
      <w:pPr>
        <w:pStyle w:val="5"/>
        <w:ind w:firstLine="560"/>
        <w:rPr>
          <w:rFonts w:hint="eastAsia"/>
        </w:rPr>
      </w:pPr>
      <w:r>
        <w:t>2.施肥</w:t>
      </w:r>
    </w:p>
    <w:p w14:paraId="7F3D0A74">
      <w:pPr>
        <w:pStyle w:val="5"/>
        <w:ind w:firstLine="560"/>
        <w:rPr>
          <w:rFonts w:hint="eastAsia"/>
        </w:rPr>
      </w:pPr>
      <w:r>
        <w:t>根据乔木品种、生长发育阶段选择使用有机肥、无机肥及专用肥，每年施肥不少于四次，有年度施肥计划，提前上报甲方，审核通过后实施。保证乔木生长良好，枝繁叶茂，正常叶片保存率95%以上，开花乔木花色及花量正常。基肥应于落叶后至发芽前的休眠期进行，追肥应于萌芽后到秋季前的生长期进行。采用科学合理的施肥方法，尤其要做好开花乔木的施肥周年计划。做到施肥有记录、有检查、有汇报。每项一处一次扣1分。</w:t>
      </w:r>
    </w:p>
    <w:p w14:paraId="7C96D356">
      <w:pPr>
        <w:pStyle w:val="5"/>
        <w:ind w:firstLine="560"/>
        <w:rPr>
          <w:rFonts w:hint="eastAsia"/>
        </w:rPr>
      </w:pPr>
      <w:r>
        <w:t>3.整形修剪</w:t>
      </w:r>
    </w:p>
    <w:p w14:paraId="612A5323">
      <w:pPr>
        <w:pStyle w:val="5"/>
        <w:ind w:firstLine="560"/>
        <w:rPr>
          <w:rFonts w:hint="eastAsia"/>
        </w:rPr>
      </w:pPr>
      <w:r>
        <w:t>乔木的修剪要根据乔木的种类、生物学特性，进行适时修剪。对乔木的整形修枝要及时，剪除危害严重的病虫枝、残枝、弱枝、干枝，做到树冠枝条合理分布，通风透光。行道树要根据不同路段车辆、行人通行等情况确定下缘线高度，随时保持下缘线整齐美观；树枝遮挡交通、市政设施的要及时上报，并按交通、市政等相关部门要求及时进行修剪；对住户采光、生活有影响的应及时修剪。每次修剪做好修剪作业安全防护措施。萌发力强的乔木，应掌握时机，及时进行抹芽，开花乔木及时清理枯花等。造型乔木科学合理进行整形修剪，保持原有造型。</w:t>
      </w:r>
    </w:p>
    <w:p w14:paraId="4CE5751E">
      <w:pPr>
        <w:pStyle w:val="5"/>
        <w:ind w:firstLine="560"/>
        <w:rPr>
          <w:rFonts w:hint="eastAsia"/>
        </w:rPr>
      </w:pPr>
      <w:r>
        <w:t>树木的枝条离高、低压线距离应符合《电力设施保护条例实施细则》规定，由养护公司与供电部门协商，及时进行修剪。</w:t>
      </w:r>
    </w:p>
    <w:p w14:paraId="0E6EE1CC">
      <w:pPr>
        <w:pStyle w:val="5"/>
        <w:ind w:firstLine="560"/>
        <w:rPr>
          <w:rFonts w:hint="eastAsia"/>
        </w:rPr>
      </w:pPr>
      <w:r>
        <w:t>及时修剪有安全隐患的乔木，乔木修剪时要技术与美观相结合，不能因生长需要而影响城市景观。每项一处一次扣1分。</w:t>
      </w:r>
    </w:p>
    <w:p w14:paraId="4E94AC78">
      <w:pPr>
        <w:pStyle w:val="5"/>
        <w:ind w:firstLine="560"/>
        <w:rPr>
          <w:rFonts w:hint="eastAsia"/>
        </w:rPr>
      </w:pPr>
      <w:r>
        <w:t>4.中耕除草</w:t>
      </w:r>
    </w:p>
    <w:p w14:paraId="69317732">
      <w:pPr>
        <w:pStyle w:val="5"/>
        <w:ind w:firstLine="560"/>
        <w:rPr>
          <w:rFonts w:hint="eastAsia"/>
        </w:rPr>
      </w:pPr>
      <w:r>
        <w:t>适时中耕除草，保持土壤疏松透气。乔木树塘内不能有垃圾、杂草等。树干周围的杂草、菟丝子等应及时铲除。施用化学除草剂要注意施药浓度、避开人流高峰，以免造成对市民身体健康的危害和对植物的药害，每项一处一次扣1分。</w:t>
      </w:r>
    </w:p>
    <w:p w14:paraId="334E5BC7">
      <w:pPr>
        <w:pStyle w:val="5"/>
        <w:ind w:firstLine="560"/>
        <w:rPr>
          <w:rFonts w:hint="eastAsia"/>
        </w:rPr>
      </w:pPr>
      <w:r>
        <w:t>5.补植</w:t>
      </w:r>
    </w:p>
    <w:p w14:paraId="1D59A881">
      <w:pPr>
        <w:pStyle w:val="5"/>
        <w:ind w:firstLine="560"/>
        <w:rPr>
          <w:rFonts w:hint="eastAsia"/>
        </w:rPr>
      </w:pPr>
      <w:r>
        <w:t>对自然死亡及管护不力造成死亡的行道树及乔木，应在一周内清理(有安全隐患的应立即消除安全隐患)并根据树种种植的最佳时间及时内按原品种、原规格进行补植。或及时补植经甲方同意认可更换的树种。每项一处一次扣</w:t>
      </w:r>
      <w:r>
        <w:rPr>
          <w:rFonts w:hint="eastAsia"/>
        </w:rPr>
        <w:t>1</w:t>
      </w:r>
      <w:r>
        <w:t>分。</w:t>
      </w:r>
    </w:p>
    <w:p w14:paraId="61440498">
      <w:pPr>
        <w:pStyle w:val="5"/>
        <w:ind w:firstLine="560"/>
        <w:rPr>
          <w:rFonts w:hint="eastAsia"/>
        </w:rPr>
      </w:pPr>
      <w:r>
        <w:t>6.树体清洁</w:t>
      </w:r>
    </w:p>
    <w:p w14:paraId="4C02B4E1">
      <w:pPr>
        <w:pStyle w:val="5"/>
        <w:ind w:firstLine="560"/>
        <w:rPr>
          <w:rFonts w:hint="eastAsia"/>
        </w:rPr>
      </w:pPr>
      <w:r>
        <w:t>及时清除树上的蛛网、枯枝、电线、钉子等异物。每周至少对行道树树冠冲洗一次，以保证植物叶面光合作用和呼吸的正常进行，四大节日(元旦、春节、五一、国庆)和重大活动等特殊情况酌情增加冲洗次数。每项一处一次扣1分。</w:t>
      </w:r>
    </w:p>
    <w:p w14:paraId="5ECA9045">
      <w:pPr>
        <w:pStyle w:val="5"/>
        <w:ind w:firstLine="560"/>
        <w:rPr>
          <w:rFonts w:hint="eastAsia"/>
        </w:rPr>
      </w:pPr>
      <w:r>
        <w:t>7.冬季对行道树及部分乔木刷白一次。对不耐寒乔木，冬季必须采取防寒、防冻措施。每项一处一次扣1分。</w:t>
      </w:r>
    </w:p>
    <w:p w14:paraId="53B5ECF9">
      <w:pPr>
        <w:pStyle w:val="5"/>
        <w:ind w:firstLine="560"/>
        <w:rPr>
          <w:rFonts w:hint="eastAsia"/>
        </w:rPr>
      </w:pPr>
      <w:r>
        <w:t>8.雨季风季前对乔木进行全面排查，对存在的安全隐患及时整改。雨中加强巡查，雨后立即核查，及时处理倒伏折枝树木。每项一处一次扣1分。</w:t>
      </w:r>
    </w:p>
    <w:p w14:paraId="29F9C48A">
      <w:pPr>
        <w:pStyle w:val="5"/>
        <w:ind w:firstLine="0" w:firstLineChars="0"/>
        <w:rPr>
          <w:rFonts w:hint="eastAsia"/>
          <w:b/>
          <w:bCs/>
        </w:rPr>
      </w:pPr>
      <w:r>
        <w:rPr>
          <w:b/>
          <w:bCs/>
        </w:rPr>
        <w:t>二、灌木的检查考核标准</w:t>
      </w:r>
    </w:p>
    <w:p w14:paraId="19E2E609">
      <w:pPr>
        <w:pStyle w:val="5"/>
        <w:ind w:firstLine="560"/>
        <w:rPr>
          <w:rFonts w:hint="eastAsia"/>
        </w:rPr>
      </w:pPr>
      <w:r>
        <w:t>1.严格做好灌木丛中的卫生保洁，灌木丛中无剪后碎枝、枯枝、落叶、垃圾等。每项一处一次扣1分。</w:t>
      </w:r>
    </w:p>
    <w:p w14:paraId="5250F8CE">
      <w:pPr>
        <w:pStyle w:val="5"/>
        <w:ind w:firstLine="560"/>
        <w:rPr>
          <w:rFonts w:hint="eastAsia"/>
        </w:rPr>
      </w:pPr>
      <w:r>
        <w:t>2.确保灌木的正常生长，有年度施肥计划并实施，合理施用有机肥、无机肥，每年施肥不少于四次，施肥时严格控制剂量，均匀施肥，不能产生肥害，做到施肥有记录、有检查、有汇报。每项一处一次扣1分。</w:t>
      </w:r>
    </w:p>
    <w:p w14:paraId="22345FE6">
      <w:pPr>
        <w:pStyle w:val="5"/>
        <w:ind w:firstLine="560"/>
        <w:rPr>
          <w:rFonts w:hint="eastAsia"/>
          <w:sz w:val="26"/>
          <w:szCs w:val="26"/>
        </w:rPr>
      </w:pPr>
      <w:r>
        <w:t>3.对因自然死亡及管护不力造成灌木出现缺段、缺塘现象，应及时清理并在五个工作日内按原品种、原规格进行补植。如有特殊原因需更换品种，须向甲方报告，并经审核同意后更换。植株有明显病虫害、生长不良、死亡、缺株的，未在规定时间内完成补植的，一次扣</w:t>
      </w:r>
      <w:r>
        <w:rPr>
          <w:rFonts w:hint="eastAsia"/>
          <w:sz w:val="26"/>
          <w:szCs w:val="26"/>
        </w:rPr>
        <w:t>2</w:t>
      </w:r>
      <w:r>
        <w:rPr>
          <w:sz w:val="26"/>
          <w:szCs w:val="26"/>
        </w:rPr>
        <w:t>分。</w:t>
      </w:r>
    </w:p>
    <w:p w14:paraId="7E2E0BB1">
      <w:pPr>
        <w:pStyle w:val="5"/>
        <w:ind w:firstLine="560"/>
        <w:rPr>
          <w:rFonts w:hint="eastAsia"/>
        </w:rPr>
      </w:pPr>
      <w:r>
        <w:t>4.灌木须保持最佳造型，要求修剪工艺精细，造型具有艺术感和创意，根据其生长特性、造型艺术、风格适时修剪。</w:t>
      </w:r>
    </w:p>
    <w:p w14:paraId="30EDC408">
      <w:pPr>
        <w:pStyle w:val="5"/>
        <w:ind w:firstLine="560"/>
        <w:rPr>
          <w:rFonts w:hint="eastAsia"/>
        </w:rPr>
      </w:pPr>
      <w:r>
        <w:t>修剪后平行绿篱须保持表面与地面平行，垂直面为90度角，边、角分明；球型灌木保持四周对称；弧形灌木及其它灌木保持边缘线整齐，不出现零乱现象。每项一处一次扣1分。</w:t>
      </w:r>
    </w:p>
    <w:p w14:paraId="30C0970D">
      <w:pPr>
        <w:pStyle w:val="5"/>
        <w:ind w:firstLine="560"/>
        <w:rPr>
          <w:rFonts w:hint="eastAsia"/>
        </w:rPr>
      </w:pPr>
      <w:r>
        <w:t>5.对开花的灌木应根据其生物学特性进行修剪，修剪时要注意保留花芽，花后及时清除枯花。每项一处一次扣1分。</w:t>
      </w:r>
    </w:p>
    <w:p w14:paraId="488E7AD1">
      <w:pPr>
        <w:pStyle w:val="5"/>
        <w:ind w:firstLine="560"/>
        <w:rPr>
          <w:rFonts w:hint="eastAsia"/>
        </w:rPr>
      </w:pPr>
      <w:r>
        <w:t>6.对不耐寒的灌木，冬季进行防寒、防冻措施。每项一处一次扣1分。7.表土保持疏松、平整，每月疏松一次。每项一处一次扣1分。</w:t>
      </w:r>
    </w:p>
    <w:p w14:paraId="7FA8DE8C">
      <w:pPr>
        <w:pStyle w:val="5"/>
        <w:ind w:firstLine="0" w:firstLineChars="0"/>
        <w:rPr>
          <w:rFonts w:hint="eastAsia"/>
          <w:b/>
          <w:bCs/>
        </w:rPr>
      </w:pPr>
      <w:r>
        <w:rPr>
          <w:b/>
          <w:bCs/>
        </w:rPr>
        <w:t>三、藤本植物的检查考核标准</w:t>
      </w:r>
    </w:p>
    <w:p w14:paraId="1E85CEA3">
      <w:pPr>
        <w:pStyle w:val="5"/>
        <w:ind w:firstLine="560"/>
        <w:rPr>
          <w:rFonts w:hint="eastAsia"/>
        </w:rPr>
      </w:pPr>
      <w:r>
        <w:t>1.生长良好，整齐雅观，无明显徒长枝，枝叶健壮，叶色浓绿，无枯枝、断枝，覆盖率达95%以上。每项一处一次扣1分。</w:t>
      </w:r>
    </w:p>
    <w:p w14:paraId="51CB952B">
      <w:pPr>
        <w:pStyle w:val="5"/>
        <w:ind w:firstLine="560"/>
        <w:rPr>
          <w:rFonts w:hint="eastAsia"/>
        </w:rPr>
      </w:pPr>
      <w:r>
        <w:t>2.藤本丛中间无枯枝败叶、垃圾、寄生物。花架及藤本植物无蛛网、垃圾等异物。每项一处一次扣1分。</w:t>
      </w:r>
    </w:p>
    <w:p w14:paraId="3A7088F9">
      <w:pPr>
        <w:pStyle w:val="5"/>
        <w:ind w:firstLine="560"/>
        <w:rPr>
          <w:rFonts w:hint="eastAsia"/>
        </w:rPr>
      </w:pPr>
      <w:r>
        <w:t>3.根据藤本植物的生长需要适时施肥、灌水，每年施肥不少于四次，有年度施肥计划并实施。每项一处一次扣1分。</w:t>
      </w:r>
    </w:p>
    <w:p w14:paraId="31974DC6">
      <w:pPr>
        <w:pStyle w:val="5"/>
        <w:ind w:firstLine="560"/>
        <w:rPr>
          <w:rFonts w:hint="eastAsia"/>
        </w:rPr>
      </w:pPr>
      <w:r>
        <w:t>4.及时牵引、修剪藤本植物，保持整齐美观。每项一处一次扣1分。</w:t>
      </w:r>
    </w:p>
    <w:p w14:paraId="44A41368">
      <w:pPr>
        <w:pStyle w:val="5"/>
        <w:ind w:firstLine="560"/>
        <w:rPr>
          <w:rFonts w:hint="eastAsia"/>
        </w:rPr>
      </w:pPr>
      <w:r>
        <w:t>5.对自然死亡及管护不力造成死亡的藤本植物，应及时清理并在五个工作日内按原品种，选取强壮的藤苗进行补植。如有特殊原因需更换品种，须向甲方报告，并经审核同意后更换。每项一处一次扣2分。</w:t>
      </w:r>
    </w:p>
    <w:p w14:paraId="05FD1C61">
      <w:pPr>
        <w:pStyle w:val="5"/>
        <w:ind w:firstLine="0" w:firstLineChars="0"/>
        <w:rPr>
          <w:rFonts w:hint="eastAsia"/>
          <w:b/>
          <w:bCs/>
        </w:rPr>
      </w:pPr>
      <w:r>
        <w:rPr>
          <w:rFonts w:hint="eastAsia"/>
          <w:b/>
          <w:bCs/>
        </w:rPr>
        <w:t>四、</w:t>
      </w:r>
      <w:r>
        <w:rPr>
          <w:b/>
          <w:bCs/>
        </w:rPr>
        <w:t>草坪的检查考核标准</w:t>
      </w:r>
    </w:p>
    <w:p w14:paraId="1E893E38">
      <w:pPr>
        <w:pStyle w:val="5"/>
        <w:ind w:firstLine="560"/>
        <w:rPr>
          <w:rFonts w:hint="eastAsia"/>
        </w:rPr>
      </w:pPr>
      <w:r>
        <w:t>1.草坪平整，无坑洼积水，无裸露地。每项一处一次扣1分。</w:t>
      </w:r>
    </w:p>
    <w:p w14:paraId="6BFE9386">
      <w:pPr>
        <w:pStyle w:val="5"/>
        <w:ind w:firstLine="560"/>
        <w:rPr>
          <w:rFonts w:hint="eastAsia"/>
        </w:rPr>
      </w:pPr>
      <w:r>
        <w:t>2.草坪无垃圾、枯枝落叶、碎草等异物。每项一处一次扣1分。</w:t>
      </w:r>
    </w:p>
    <w:p w14:paraId="14778324">
      <w:pPr>
        <w:pStyle w:val="5"/>
        <w:ind w:firstLine="560"/>
        <w:rPr>
          <w:rFonts w:hint="eastAsia"/>
        </w:rPr>
      </w:pPr>
      <w:r>
        <w:t>3.马尼拉草坪必须每月用自制工具打孔一次，以促进草坪生长。对已形成突起状草墩的草坪，需按技术规范要求，进行修剪，以确保草坪的正常生长和草坪平整度。每项一处一次扣1分。</w:t>
      </w:r>
    </w:p>
    <w:p w14:paraId="2D87B632">
      <w:pPr>
        <w:pStyle w:val="5"/>
        <w:ind w:firstLine="560"/>
        <w:rPr>
          <w:rFonts w:hint="eastAsia"/>
        </w:rPr>
      </w:pPr>
      <w:r>
        <w:t>4.草坪覆盖率达9</w:t>
      </w:r>
      <w:r>
        <w:rPr>
          <w:rFonts w:hint="eastAsia"/>
        </w:rPr>
        <w:t>5</w:t>
      </w:r>
      <w:r>
        <w:t>%,草坪内杂草控制在</w:t>
      </w:r>
      <w:r>
        <w:rPr>
          <w:rFonts w:hint="eastAsia"/>
        </w:rPr>
        <w:t>5</w:t>
      </w:r>
      <w:r>
        <w:t>%以内。每项一处一次扣1分。</w:t>
      </w:r>
    </w:p>
    <w:p w14:paraId="0629328E">
      <w:pPr>
        <w:pStyle w:val="5"/>
        <w:ind w:firstLine="560"/>
        <w:rPr>
          <w:rFonts w:hint="eastAsia"/>
        </w:rPr>
      </w:pPr>
      <w:r>
        <w:t>5.根据草坪的生长需要，适时浇水，要加强对草坪水分的管理，确保草坪不出现干水现象。浇水时不能造成草坪倒伏，泥土外溅等现象。每项一处一次扣1分。</w:t>
      </w:r>
    </w:p>
    <w:p w14:paraId="2C3A8B18">
      <w:pPr>
        <w:pStyle w:val="5"/>
        <w:ind w:firstLine="560"/>
        <w:rPr>
          <w:rFonts w:hint="eastAsia"/>
        </w:rPr>
      </w:pPr>
      <w:r>
        <w:t>6.按草坪生长的季节合理施肥，有年度施肥计划并实施，本着勤施、薄施的原则，根部施肥与叶面追肥相结合，合理施用无机肥和有机肥，每年施肥不少于四次，以保持草坪长势优良，防止肥害产生。生长茂盛、色泽均匀、叶色浓绿、无枯黄叶。每项一处一次扣1分。</w:t>
      </w:r>
    </w:p>
    <w:p w14:paraId="7561FA1C">
      <w:pPr>
        <w:pStyle w:val="5"/>
        <w:ind w:firstLine="560"/>
        <w:rPr>
          <w:rFonts w:hint="eastAsia"/>
        </w:rPr>
      </w:pPr>
      <w:r>
        <w:t>7.按1/3原则适时剪草，保持草坪高度一致，高度控制在5</w:t>
      </w:r>
      <w:r>
        <w:rPr>
          <w:rFonts w:ascii="Times New Roman" w:hAnsi="Times New Roman" w:eastAsia="Times New Roman" w:cs="Times New Roman"/>
        </w:rPr>
        <w:t>cm</w:t>
      </w:r>
      <w:r>
        <w:t>以下，边缘整齐。对草坪边缘以及植于草坪内的乔、灌木旁，剪草机修剪不到的地方，必须进行人工修剪，以保证草坪整齐美观。每项一处一次扣1分。</w:t>
      </w:r>
    </w:p>
    <w:p w14:paraId="26E3665F">
      <w:pPr>
        <w:pStyle w:val="5"/>
        <w:ind w:firstLine="560"/>
        <w:rPr>
          <w:rFonts w:hint="eastAsia"/>
        </w:rPr>
      </w:pPr>
      <w:r>
        <w:t>8.绿地草坪内无人坐、躺、践踏、损坏、戏耍及遛狗。每项一处一次扣1分。</w:t>
      </w:r>
    </w:p>
    <w:p w14:paraId="3AD912AD">
      <w:pPr>
        <w:pStyle w:val="5"/>
        <w:ind w:firstLine="0" w:firstLineChars="0"/>
        <w:rPr>
          <w:rFonts w:hint="eastAsia"/>
          <w:b/>
          <w:bCs/>
        </w:rPr>
      </w:pPr>
      <w:r>
        <w:rPr>
          <w:b/>
          <w:bCs/>
        </w:rPr>
        <w:t>五、水生植物检查考核标准</w:t>
      </w:r>
    </w:p>
    <w:p w14:paraId="04ECB520">
      <w:pPr>
        <w:pStyle w:val="5"/>
        <w:ind w:firstLine="560"/>
        <w:rPr>
          <w:rFonts w:hint="eastAsia"/>
        </w:rPr>
      </w:pPr>
      <w:r>
        <w:t>1.对水生植物进行养护，包括施肥、除草、修剪、病虫害防治(高温高湿天气加强防治),保证植物长势良好及水体清洁。造成水生植物养护不当、水体不洁、影响景观效果的，每项一处一次扣1分。同时，应提出补救措施，并经甲方审核同意后实施，未采取补救措施或未主动汇报擅自实施的，每项一处一次扣3分。</w:t>
      </w:r>
    </w:p>
    <w:p w14:paraId="7091FAFC">
      <w:pPr>
        <w:pStyle w:val="5"/>
        <w:ind w:firstLine="560"/>
        <w:rPr>
          <w:rFonts w:hint="eastAsia"/>
        </w:rPr>
      </w:pPr>
      <w:r>
        <w:t>2.每年11月前后对枯萎的荷叶、芦竹等进行集中清理，及时清理绿化垃圾。每项一处一次扣1分。</w:t>
      </w:r>
    </w:p>
    <w:p w14:paraId="14F48BDE">
      <w:pPr>
        <w:pStyle w:val="5"/>
        <w:ind w:firstLine="0" w:firstLineChars="0"/>
        <w:rPr>
          <w:rFonts w:hint="eastAsia"/>
          <w:b/>
          <w:bCs/>
        </w:rPr>
      </w:pPr>
      <w:r>
        <w:rPr>
          <w:b/>
          <w:bCs/>
        </w:rPr>
        <w:t>六、病虫害防治检查考核标准</w:t>
      </w:r>
    </w:p>
    <w:p w14:paraId="1719EA87">
      <w:pPr>
        <w:pStyle w:val="5"/>
        <w:ind w:firstLine="560"/>
        <w:rPr>
          <w:rFonts w:hint="eastAsia"/>
        </w:rPr>
      </w:pPr>
      <w:r>
        <w:t>1.病虫害的防治贯彻“预防为主，综合治理”的方针，仔细观察、适时用药，早发现早处理，有年度病虫害防治方案并实施。采取农业、化学、物理、生物防治等方法进行综合防治，将病虫害控制在允许范围内。发生病虫害为害时，最严重的受害程度控制在5%以下。每项一处一次扣1分。</w:t>
      </w:r>
    </w:p>
    <w:p w14:paraId="4429E2B9">
      <w:pPr>
        <w:pStyle w:val="5"/>
        <w:ind w:firstLine="560"/>
        <w:rPr>
          <w:rFonts w:hint="eastAsia"/>
        </w:rPr>
      </w:pPr>
      <w:r>
        <w:t>2.禁止使用国家禁用农药以及劣质、过期农药，严禁虚报产品合格证，积极推广无公害防治，所用农药生物农药必须占60%以上。每项一处一次扣1分。</w:t>
      </w:r>
    </w:p>
    <w:p w14:paraId="39B06A1E">
      <w:pPr>
        <w:pStyle w:val="5"/>
        <w:ind w:firstLine="560"/>
        <w:rPr>
          <w:rFonts w:hint="eastAsia"/>
        </w:rPr>
      </w:pPr>
      <w:r>
        <w:t>3.喷药禁止在上、下班高峰期以及节假日喷药，如有特殊情况，必须经甲方审批。每项一处一次扣1分。</w:t>
      </w:r>
    </w:p>
    <w:p w14:paraId="18130804">
      <w:pPr>
        <w:pStyle w:val="5"/>
        <w:ind w:firstLine="560"/>
        <w:rPr>
          <w:rFonts w:hint="eastAsia"/>
        </w:rPr>
      </w:pPr>
      <w:r>
        <w:t>4.喷药时，应注意安全，确保植物、人、环境三者的安全。严格按照农药使用说明进行，避免植物产生药害；喷药人员必须配戴口罩、手套、眼罩；喷药时设置提醒告示牌，有专人招呼过往行人、摊点、车辆等，要做好现场解释工作，杜绝发生任何事故。喷药尽量选择在人流量少、不影响市民生产生活的时间内进行，避免在中午阳光直射下或温度高时喷药。每项一处一次扣1分。</w:t>
      </w:r>
    </w:p>
    <w:p w14:paraId="13FB86DB">
      <w:pPr>
        <w:pStyle w:val="5"/>
        <w:ind w:firstLine="560"/>
        <w:rPr>
          <w:rFonts w:hint="eastAsia"/>
        </w:rPr>
      </w:pPr>
      <w:r>
        <w:t>5.蚊虫滋生时，需及时采取药物防治、物理防治等措施，减小蚊虫对环境、市民的影响。每项一处一次扣1分。</w:t>
      </w:r>
    </w:p>
    <w:p w14:paraId="3B6A2F5B">
      <w:pPr>
        <w:pStyle w:val="5"/>
        <w:ind w:firstLine="0" w:firstLineChars="0"/>
        <w:rPr>
          <w:rFonts w:hint="eastAsia"/>
          <w:b/>
          <w:bCs/>
        </w:rPr>
      </w:pPr>
      <w:r>
        <w:rPr>
          <w:b/>
          <w:bCs/>
        </w:rPr>
        <w:t>七、园林器械及其他管理检查考核标准</w:t>
      </w:r>
    </w:p>
    <w:p w14:paraId="41D4F40E">
      <w:pPr>
        <w:pStyle w:val="5"/>
        <w:ind w:firstLine="560"/>
        <w:rPr>
          <w:rFonts w:hint="eastAsia"/>
        </w:rPr>
      </w:pPr>
      <w:r>
        <w:t>1.机械设备必须保证正常运作，杜绝带病作业，避免安全事故发生。每项一处一次扣1分。</w:t>
      </w:r>
    </w:p>
    <w:p w14:paraId="740F1F6C">
      <w:pPr>
        <w:pStyle w:val="5"/>
        <w:ind w:firstLine="560"/>
        <w:rPr>
          <w:rFonts w:hint="eastAsia"/>
        </w:rPr>
      </w:pPr>
      <w:r>
        <w:t>2.园林机械使用前、后必须做安全检查，使用中严格按使用说明和操作规程进行操作。每项一处一次扣1分。</w:t>
      </w:r>
    </w:p>
    <w:p w14:paraId="081B7B0C">
      <w:pPr>
        <w:pStyle w:val="5"/>
        <w:ind w:firstLine="560"/>
        <w:rPr>
          <w:rFonts w:hint="eastAsia"/>
        </w:rPr>
      </w:pPr>
      <w:r>
        <w:t>3.剪草机，绿篱机等园林机械需由专人负责使用，专人维护。使用后必须进行消毒处理，避免病害交叉感染。抽检与作业记录相结合。每项一处一次扣1分。</w:t>
      </w:r>
    </w:p>
    <w:p w14:paraId="55639131">
      <w:pPr>
        <w:pStyle w:val="5"/>
        <w:ind w:firstLine="560"/>
        <w:rPr>
          <w:rFonts w:hint="eastAsia"/>
        </w:rPr>
      </w:pPr>
      <w:r>
        <w:t>4.打药机由专人负责使用，专人维护。每次使用后清洗干净。每项一处一次扣1分。</w:t>
      </w:r>
    </w:p>
    <w:p w14:paraId="0CE19913">
      <w:pPr>
        <w:pStyle w:val="5"/>
        <w:ind w:firstLine="560"/>
        <w:rPr>
          <w:rFonts w:hint="eastAsia"/>
        </w:rPr>
      </w:pPr>
      <w:r>
        <w:t>5.喷淋和抽水灌溉设备安全有保障，及时维护、更换损坏的喷淋设施，做好配电柜等电源的安全管理，若损坏或被盗必须在三个工作日进行补充；合理布置、调整喷淋设施，避免浇灌时喷溅行人、喷至人行道上，影响行人通行。每项一处一次扣1分。</w:t>
      </w:r>
    </w:p>
    <w:p w14:paraId="41FF7C7F">
      <w:pPr>
        <w:pStyle w:val="5"/>
        <w:ind w:firstLine="560"/>
        <w:rPr>
          <w:rFonts w:hint="eastAsia"/>
        </w:rPr>
      </w:pPr>
      <w:r>
        <w:t>6.洒水车及其它园林专用车辆必须严格遵守《道路交通安全法》及城区道路相关行驶规定。严格控制洒水车车速，不超过20km/h。浇水时不出现红土外溅现象，若造成路面污染，必须立即清理、保洁。每项一处一次扣1分。</w:t>
      </w:r>
    </w:p>
    <w:p w14:paraId="1BAC41CD">
      <w:pPr>
        <w:pStyle w:val="5"/>
        <w:ind w:firstLine="560"/>
        <w:rPr>
          <w:rFonts w:hint="eastAsia"/>
        </w:rPr>
      </w:pPr>
      <w:r>
        <w:t>7.洒水车要求外观整洁，警示标志完整、明显；在交通拥挤的路段，严格遵守洒水车浇水时间，避开上下班高峰区。每项一处一次扣1分。</w:t>
      </w:r>
    </w:p>
    <w:p w14:paraId="29F1FC78">
      <w:pPr>
        <w:pStyle w:val="5"/>
        <w:ind w:firstLine="0" w:firstLineChars="0"/>
        <w:rPr>
          <w:rFonts w:hint="eastAsia"/>
          <w:b/>
          <w:bCs/>
        </w:rPr>
      </w:pPr>
      <w:r>
        <w:rPr>
          <w:b/>
          <w:bCs/>
        </w:rPr>
        <w:t>八、其它检查考核标准</w:t>
      </w:r>
    </w:p>
    <w:p w14:paraId="285F254C">
      <w:pPr>
        <w:pStyle w:val="5"/>
        <w:ind w:firstLine="560"/>
        <w:rPr>
          <w:rFonts w:hint="eastAsia"/>
        </w:rPr>
      </w:pPr>
      <w:r>
        <w:t>1.排查并消除园林绿化设施养护管理、维修施工中安全隐患；管护范围内园林设施损坏、缺失的，三日内进行维修。每项一处一次扣1分。</w:t>
      </w:r>
    </w:p>
    <w:p w14:paraId="67951CF0">
      <w:pPr>
        <w:pStyle w:val="5"/>
        <w:ind w:firstLine="560"/>
        <w:rPr>
          <w:rFonts w:hint="eastAsia"/>
        </w:rPr>
      </w:pPr>
      <w:r>
        <w:t>2.特种岗位有要求的须持证上岗。每项一处一次扣3分。</w:t>
      </w:r>
    </w:p>
    <w:p w14:paraId="50692581">
      <w:pPr>
        <w:pStyle w:val="5"/>
        <w:ind w:firstLine="560"/>
        <w:rPr>
          <w:rFonts w:hint="eastAsia"/>
        </w:rPr>
      </w:pPr>
      <w:r>
        <w:t>3.绿化垃圾随产随清，及时清运废土和绿化垃圾，无乱堆乱放乱扔和隔夜堆放现象，每项一处一次扣1分；严禁焚烧绿化垃圾，每项一处一次扣1分。</w:t>
      </w:r>
    </w:p>
    <w:p w14:paraId="1F641260">
      <w:pPr>
        <w:pStyle w:val="5"/>
        <w:ind w:firstLine="560"/>
        <w:rPr>
          <w:rFonts w:hint="eastAsia"/>
        </w:rPr>
      </w:pPr>
      <w:r>
        <w:t>4.保持种植容器(花箱、花钵、花池等)外观清洁。每项一处一次扣1分。</w:t>
      </w:r>
    </w:p>
    <w:p w14:paraId="715EE32D">
      <w:pPr>
        <w:pStyle w:val="5"/>
        <w:ind w:firstLine="560"/>
        <w:rPr>
          <w:rFonts w:hint="eastAsia"/>
        </w:rPr>
      </w:pPr>
      <w:r>
        <w:t>5.管护公司不能擅自开挖、占用园林绿地。对已办理树木修枝、移植、砍伐和占用绿地审批手续的进行日常监管；对擅自移植、砍伐园林树木和开挖、占用园林绿地的要坚决制止，并将园林绿化缺失情况及时上报甲方进行处理。每项一处一次扣1分。</w:t>
      </w:r>
    </w:p>
    <w:p w14:paraId="20A9C1EB">
      <w:pPr>
        <w:pStyle w:val="5"/>
        <w:ind w:firstLine="560"/>
        <w:rPr>
          <w:rFonts w:hint="eastAsia"/>
        </w:rPr>
      </w:pPr>
      <w:r>
        <w:rPr>
          <w:rFonts w:hint="eastAsia"/>
        </w:rPr>
        <w:t>6</w:t>
      </w:r>
      <w:r>
        <w:t>.作业人员未按照相关要求规范着装的，一人一次扣1分。</w:t>
      </w:r>
    </w:p>
    <w:p w14:paraId="420BC767">
      <w:pPr>
        <w:pStyle w:val="5"/>
        <w:ind w:firstLine="560"/>
        <w:rPr>
          <w:rFonts w:hint="eastAsia"/>
        </w:rPr>
      </w:pPr>
      <w:r>
        <w:rPr>
          <w:rFonts w:hint="eastAsia"/>
        </w:rPr>
        <w:t>7</w:t>
      </w:r>
      <w:r>
        <w:t>.未按照要求提供各类资料或资料记录不完整的(包括但不限于安全隐患检查台账、整改台账、作业机具检查台账、作业机具维修台账、安全培训台账、应急演练资料、岗前培训资料、作业台账、作业情景资料、工作日志、工资发放表、员工岗前培训记录、保险购买资料等),每次扣2分。</w:t>
      </w:r>
    </w:p>
    <w:p w14:paraId="1EE54517">
      <w:pPr>
        <w:pStyle w:val="5"/>
        <w:ind w:firstLine="560"/>
        <w:rPr>
          <w:rFonts w:hint="eastAsia"/>
        </w:rPr>
      </w:pPr>
      <w:r>
        <w:rPr>
          <w:rFonts w:hint="eastAsia"/>
        </w:rPr>
        <w:t>8</w:t>
      </w:r>
      <w:r>
        <w:t>.作业驾驶员违反交通法规被执法部门查处的，除自行承担相应责任外，每次扣5分。</w:t>
      </w:r>
    </w:p>
    <w:p w14:paraId="693F2550">
      <w:pPr>
        <w:pStyle w:val="5"/>
        <w:ind w:firstLine="560"/>
        <w:rPr>
          <w:rFonts w:hint="eastAsia"/>
        </w:rPr>
      </w:pPr>
      <w:r>
        <w:rPr>
          <w:rFonts w:hint="eastAsia"/>
        </w:rPr>
        <w:t>9</w:t>
      </w:r>
      <w:r>
        <w:t>.未按要求做好员工安全培训教育和记录，一次扣1分；管护人员在管护工作期间安全措施不到位的，发现一人一次扣2分；因管护公司违法规定发生安全生产事故的，一次扣10分。</w:t>
      </w:r>
    </w:p>
    <w:p w14:paraId="27B7A962">
      <w:pPr>
        <w:pStyle w:val="5"/>
        <w:ind w:firstLine="560"/>
        <w:rPr>
          <w:rFonts w:hint="eastAsia"/>
        </w:rPr>
      </w:pPr>
      <w:r>
        <w:rPr>
          <w:rFonts w:hint="eastAsia"/>
        </w:rPr>
        <w:t>10</w:t>
      </w:r>
      <w:r>
        <w:t>.因管护不到位发生安全事故致使第三方受到损害的，除赔偿相应损失外，一次扣10分。</w:t>
      </w:r>
    </w:p>
    <w:p w14:paraId="153344E9">
      <w:pPr>
        <w:pStyle w:val="5"/>
        <w:ind w:firstLine="560"/>
        <w:rPr>
          <w:rFonts w:hint="eastAsia"/>
        </w:rPr>
      </w:pPr>
      <w:r>
        <w:t>1</w:t>
      </w:r>
      <w:r>
        <w:rPr>
          <w:rFonts w:hint="eastAsia"/>
        </w:rPr>
        <w:t>1</w:t>
      </w:r>
      <w:r>
        <w:t>.对安全突发事件或重大险情不及时报告、不及时处置的一次扣5分。</w:t>
      </w:r>
    </w:p>
    <w:p w14:paraId="38829986">
      <w:pPr>
        <w:pStyle w:val="5"/>
        <w:ind w:firstLine="560"/>
        <w:rPr>
          <w:rFonts w:hint="eastAsia"/>
        </w:rPr>
      </w:pPr>
      <w:r>
        <w:t>1</w:t>
      </w:r>
      <w:r>
        <w:rPr>
          <w:rFonts w:hint="eastAsia"/>
        </w:rPr>
        <w:t>2</w:t>
      </w:r>
      <w:r>
        <w:t>.信访投诉问题经核查属实的一次扣2分；因同一事项未整改或未整改到位被反复投诉的，加倍扣分。</w:t>
      </w:r>
    </w:p>
    <w:p w14:paraId="3C73E25F">
      <w:pPr>
        <w:pStyle w:val="5"/>
        <w:ind w:firstLine="560"/>
        <w:rPr>
          <w:rFonts w:hint="eastAsia"/>
        </w:rPr>
      </w:pPr>
      <w:r>
        <w:t>1</w:t>
      </w:r>
      <w:r>
        <w:rPr>
          <w:rFonts w:hint="eastAsia"/>
        </w:rPr>
        <w:t>3</w:t>
      </w:r>
      <w:r>
        <w:t>.作业项目运行过程中发生环保类事件核查属实的，每次扣50分。</w:t>
      </w:r>
    </w:p>
    <w:p w14:paraId="770F5ACE">
      <w:pPr>
        <w:pStyle w:val="5"/>
        <w:ind w:firstLine="560"/>
        <w:rPr>
          <w:rFonts w:hint="eastAsia"/>
        </w:rPr>
      </w:pPr>
      <w:r>
        <w:t>15.引发负面舆情的，每次扣5分，其中造成恶劣影响的，每次扣20分；领导点名批评的，每次扣1分；上级检查通报的，每次扣5分。</w:t>
      </w:r>
    </w:p>
    <w:p w14:paraId="0512185A">
      <w:pPr>
        <w:pStyle w:val="5"/>
        <w:ind w:firstLine="560"/>
        <w:rPr>
          <w:rFonts w:hint="eastAsia"/>
        </w:rPr>
      </w:pPr>
      <w:r>
        <w:t>1</w:t>
      </w:r>
      <w:r>
        <w:rPr>
          <w:rFonts w:hint="eastAsia"/>
        </w:rPr>
        <w:t>4</w:t>
      </w:r>
      <w:r>
        <w:t>、未重按照规定的时间和要求完成重大迎检活动中安排的各项任务，每个检查点未达标一次扣5分。</w:t>
      </w:r>
    </w:p>
    <w:p w14:paraId="42F2A797">
      <w:pPr>
        <w:pStyle w:val="5"/>
        <w:ind w:firstLine="0" w:firstLineChars="0"/>
        <w:rPr>
          <w:rFonts w:hint="eastAsia"/>
          <w:b/>
          <w:bCs/>
        </w:rPr>
      </w:pPr>
    </w:p>
    <w:p w14:paraId="032AA376">
      <w:pPr>
        <w:pStyle w:val="5"/>
        <w:ind w:firstLine="0" w:firstLineChars="0"/>
        <w:rPr>
          <w:rFonts w:hint="eastAsia"/>
          <w:b/>
          <w:bCs/>
        </w:rPr>
      </w:pPr>
    </w:p>
    <w:p w14:paraId="28BFFE84">
      <w:pPr>
        <w:pStyle w:val="5"/>
        <w:ind w:firstLine="0" w:firstLineChars="0"/>
        <w:rPr>
          <w:rFonts w:hint="eastAsia"/>
          <w:b/>
          <w:bCs/>
        </w:rPr>
      </w:pPr>
    </w:p>
    <w:p w14:paraId="7B36E2A8">
      <w:pPr>
        <w:pStyle w:val="5"/>
        <w:ind w:firstLine="0" w:firstLineChars="0"/>
        <w:rPr>
          <w:rFonts w:hint="eastAsia"/>
          <w:b/>
          <w:bCs/>
        </w:rPr>
      </w:pPr>
    </w:p>
    <w:p w14:paraId="214FA951">
      <w:pPr>
        <w:pStyle w:val="5"/>
        <w:ind w:firstLine="0" w:firstLineChars="0"/>
        <w:rPr>
          <w:rFonts w:hint="eastAsia"/>
          <w:b/>
          <w:bCs/>
        </w:rPr>
      </w:pPr>
    </w:p>
    <w:p w14:paraId="21352142">
      <w:pPr>
        <w:pStyle w:val="5"/>
        <w:ind w:firstLine="0" w:firstLineChars="0"/>
        <w:rPr>
          <w:rFonts w:hint="eastAsia"/>
          <w:b/>
          <w:bCs/>
        </w:rPr>
      </w:pPr>
    </w:p>
    <w:p w14:paraId="08B84343">
      <w:pPr>
        <w:pStyle w:val="5"/>
        <w:ind w:firstLine="0" w:firstLineChars="0"/>
        <w:rPr>
          <w:rFonts w:hint="eastAsia"/>
          <w:b/>
          <w:bCs/>
        </w:rPr>
      </w:pPr>
    </w:p>
    <w:p w14:paraId="07F0E1D6">
      <w:pPr>
        <w:pStyle w:val="5"/>
        <w:ind w:firstLine="0" w:firstLineChars="0"/>
        <w:rPr>
          <w:rFonts w:hint="eastAsia"/>
          <w:b/>
          <w:bCs/>
        </w:rPr>
      </w:pPr>
    </w:p>
    <w:p w14:paraId="3CDD7E65">
      <w:pPr>
        <w:pStyle w:val="5"/>
        <w:ind w:firstLine="0" w:firstLineChars="0"/>
        <w:rPr>
          <w:rFonts w:hint="eastAsia"/>
          <w:b/>
          <w:bCs/>
        </w:rPr>
      </w:pPr>
      <w:r>
        <w:rPr>
          <w:rFonts w:hint="eastAsia"/>
          <w:b/>
          <w:bCs/>
        </w:rPr>
        <w:t>九、</w:t>
      </w:r>
      <w:r>
        <w:rPr>
          <w:b/>
          <w:bCs/>
        </w:rPr>
        <w:t>考核标准</w:t>
      </w:r>
    </w:p>
    <w:tbl>
      <w:tblPr>
        <w:tblStyle w:val="31"/>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2"/>
        <w:gridCol w:w="1928"/>
        <w:gridCol w:w="1103"/>
        <w:gridCol w:w="3841"/>
        <w:gridCol w:w="736"/>
      </w:tblGrid>
      <w:tr w14:paraId="58BB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75530E3C">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序号</w:t>
            </w:r>
          </w:p>
        </w:tc>
        <w:tc>
          <w:tcPr>
            <w:tcW w:w="1928" w:type="dxa"/>
            <w:vAlign w:val="center"/>
          </w:tcPr>
          <w:p w14:paraId="11ED0FAC">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分值划分</w:t>
            </w:r>
          </w:p>
        </w:tc>
        <w:tc>
          <w:tcPr>
            <w:tcW w:w="1103" w:type="dxa"/>
            <w:vAlign w:val="center"/>
          </w:tcPr>
          <w:p w14:paraId="6FED748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评定结果</w:t>
            </w:r>
          </w:p>
        </w:tc>
        <w:tc>
          <w:tcPr>
            <w:tcW w:w="3841" w:type="dxa"/>
            <w:vAlign w:val="center"/>
          </w:tcPr>
          <w:p w14:paraId="2D20DA7A">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结果应用</w:t>
            </w:r>
          </w:p>
        </w:tc>
        <w:tc>
          <w:tcPr>
            <w:tcW w:w="736" w:type="dxa"/>
            <w:vAlign w:val="center"/>
          </w:tcPr>
          <w:p w14:paraId="78A32CC2">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备注</w:t>
            </w:r>
          </w:p>
        </w:tc>
      </w:tr>
      <w:tr w14:paraId="062D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4542C22F">
            <w:pPr>
              <w:pStyle w:val="46"/>
              <w:numPr>
                <w:ilvl w:val="0"/>
                <w:numId w:val="14"/>
              </w:numPr>
              <w:autoSpaceDE w:val="0"/>
              <w:autoSpaceDN w:val="0"/>
              <w:spacing w:line="240" w:lineRule="auto"/>
              <w:ind w:left="0" w:firstLine="0" w:firstLineChars="0"/>
              <w:jc w:val="center"/>
              <w:rPr>
                <w:rFonts w:hint="eastAsia" w:ascii="仿宋_GB2312" w:hAnsi="宋体" w:eastAsia="仿宋_GB2312" w:cs="宋体"/>
                <w:b/>
                <w:bCs/>
                <w:sz w:val="24"/>
                <w:lang w:eastAsia="en-US"/>
              </w:rPr>
            </w:pPr>
          </w:p>
        </w:tc>
        <w:tc>
          <w:tcPr>
            <w:tcW w:w="1928" w:type="dxa"/>
            <w:vAlign w:val="center"/>
          </w:tcPr>
          <w:p w14:paraId="75A6A76A">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≥90</w:t>
            </w:r>
            <w:r>
              <w:rPr>
                <w:rFonts w:hint="eastAsia" w:ascii="仿宋_GB2312" w:hAnsi="宋体" w:eastAsia="仿宋_GB2312" w:cs="宋体"/>
                <w:sz w:val="24"/>
                <w:lang w:eastAsia="en-US"/>
              </w:rPr>
              <w:t>分</w:t>
            </w:r>
          </w:p>
        </w:tc>
        <w:tc>
          <w:tcPr>
            <w:tcW w:w="1103" w:type="dxa"/>
            <w:vAlign w:val="center"/>
          </w:tcPr>
          <w:p w14:paraId="7BB0D477">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优秀</w:t>
            </w:r>
          </w:p>
        </w:tc>
        <w:tc>
          <w:tcPr>
            <w:tcW w:w="3841" w:type="dxa"/>
          </w:tcPr>
          <w:p w14:paraId="25EA3762">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lang w:eastAsia="en-US"/>
              </w:rPr>
              <w:t>全额拨付费用</w:t>
            </w:r>
          </w:p>
        </w:tc>
        <w:tc>
          <w:tcPr>
            <w:tcW w:w="736" w:type="dxa"/>
            <w:vAlign w:val="center"/>
          </w:tcPr>
          <w:p w14:paraId="729B5474">
            <w:pPr>
              <w:autoSpaceDE w:val="0"/>
              <w:autoSpaceDN w:val="0"/>
              <w:spacing w:line="240" w:lineRule="auto"/>
              <w:jc w:val="center"/>
              <w:rPr>
                <w:rFonts w:hint="eastAsia" w:ascii="仿宋_GB2312" w:hAnsi="宋体" w:eastAsia="仿宋_GB2312" w:cs="宋体"/>
                <w:b/>
                <w:bCs/>
                <w:sz w:val="24"/>
                <w:lang w:eastAsia="en-US"/>
              </w:rPr>
            </w:pPr>
          </w:p>
        </w:tc>
      </w:tr>
      <w:tr w14:paraId="4108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2" w:type="dxa"/>
            <w:vAlign w:val="center"/>
          </w:tcPr>
          <w:p w14:paraId="68E25AB8">
            <w:pPr>
              <w:pStyle w:val="46"/>
              <w:numPr>
                <w:ilvl w:val="0"/>
                <w:numId w:val="14"/>
              </w:numPr>
              <w:autoSpaceDE w:val="0"/>
              <w:autoSpaceDN w:val="0"/>
              <w:spacing w:line="240" w:lineRule="auto"/>
              <w:ind w:left="0" w:firstLine="0" w:firstLineChars="0"/>
              <w:jc w:val="center"/>
              <w:rPr>
                <w:rFonts w:hint="eastAsia" w:ascii="仿宋_GB2312" w:hAnsi="宋体" w:eastAsia="仿宋_GB2312" w:cs="宋体"/>
                <w:sz w:val="24"/>
                <w:lang w:eastAsia="en-US"/>
              </w:rPr>
            </w:pPr>
          </w:p>
        </w:tc>
        <w:tc>
          <w:tcPr>
            <w:tcW w:w="1928" w:type="dxa"/>
            <w:vAlign w:val="center"/>
          </w:tcPr>
          <w:p w14:paraId="6E207B6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lang w:eastAsia="en-US"/>
              </w:rPr>
              <w:t>8</w:t>
            </w:r>
            <w:r>
              <w:rPr>
                <w:rFonts w:hint="eastAsia" w:ascii="仿宋_GB2312" w:hAnsi="宋体" w:eastAsia="仿宋_GB2312" w:cs="宋体"/>
                <w:sz w:val="24"/>
              </w:rPr>
              <w:t>9</w:t>
            </w:r>
            <w:r>
              <w:rPr>
                <w:rFonts w:hint="eastAsia" w:ascii="仿宋_GB2312" w:hAnsi="宋体" w:eastAsia="仿宋_GB2312" w:cs="宋体"/>
                <w:sz w:val="24"/>
                <w:lang w:eastAsia="en-US"/>
              </w:rPr>
              <w:t>~</w:t>
            </w:r>
            <w:r>
              <w:rPr>
                <w:rFonts w:hint="eastAsia" w:ascii="仿宋_GB2312" w:hAnsi="宋体" w:eastAsia="仿宋_GB2312" w:cs="宋体"/>
                <w:sz w:val="24"/>
              </w:rPr>
              <w:t>80</w:t>
            </w:r>
            <w:r>
              <w:rPr>
                <w:rFonts w:hint="eastAsia" w:ascii="仿宋_GB2312" w:hAnsi="宋体" w:eastAsia="仿宋_GB2312" w:cs="宋体"/>
                <w:sz w:val="24"/>
                <w:lang w:eastAsia="en-US"/>
              </w:rPr>
              <w:t>(含</w:t>
            </w:r>
            <w:r>
              <w:rPr>
                <w:rFonts w:hint="eastAsia" w:ascii="仿宋_GB2312" w:hAnsi="宋体" w:eastAsia="仿宋_GB2312" w:cs="宋体"/>
                <w:sz w:val="24"/>
              </w:rPr>
              <w:t>80</w:t>
            </w:r>
            <w:r>
              <w:rPr>
                <w:rFonts w:hint="eastAsia" w:ascii="仿宋_GB2312" w:hAnsi="宋体" w:eastAsia="仿宋_GB2312" w:cs="宋体"/>
                <w:sz w:val="24"/>
                <w:lang w:eastAsia="en-US"/>
              </w:rPr>
              <w:t>)</w:t>
            </w:r>
          </w:p>
        </w:tc>
        <w:tc>
          <w:tcPr>
            <w:tcW w:w="1103" w:type="dxa"/>
            <w:vAlign w:val="center"/>
          </w:tcPr>
          <w:p w14:paraId="2DCBAECE">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合格</w:t>
            </w:r>
          </w:p>
        </w:tc>
        <w:tc>
          <w:tcPr>
            <w:tcW w:w="3841" w:type="dxa"/>
          </w:tcPr>
          <w:p w14:paraId="0D2C4FE3">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每扣1分扣除费用1000元计算</w:t>
            </w:r>
          </w:p>
        </w:tc>
        <w:tc>
          <w:tcPr>
            <w:tcW w:w="736" w:type="dxa"/>
            <w:vMerge w:val="restart"/>
          </w:tcPr>
          <w:p w14:paraId="2328432A">
            <w:pPr>
              <w:pStyle w:val="69"/>
              <w:ind w:left="480" w:hanging="480"/>
              <w:rPr>
                <w:rFonts w:ascii="仿宋_GB2312" w:eastAsia="仿宋_GB2312"/>
                <w:sz w:val="24"/>
                <w:szCs w:val="24"/>
                <w:lang w:eastAsia="zh-CN"/>
              </w:rPr>
            </w:pPr>
          </w:p>
        </w:tc>
      </w:tr>
      <w:tr w14:paraId="5D16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6FB06D93">
            <w:pPr>
              <w:pStyle w:val="46"/>
              <w:numPr>
                <w:ilvl w:val="0"/>
                <w:numId w:val="14"/>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22E5C712">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79</w:t>
            </w:r>
            <w:r>
              <w:rPr>
                <w:rFonts w:hint="eastAsia" w:ascii="仿宋_GB2312" w:hAnsi="宋体" w:eastAsia="仿宋_GB2312" w:cs="宋体"/>
                <w:sz w:val="24"/>
                <w:lang w:eastAsia="en-US"/>
              </w:rPr>
              <w:t>~7</w:t>
            </w:r>
            <w:r>
              <w:rPr>
                <w:rFonts w:hint="eastAsia" w:ascii="仿宋_GB2312" w:hAnsi="宋体" w:eastAsia="仿宋_GB2312" w:cs="宋体"/>
                <w:sz w:val="24"/>
              </w:rPr>
              <w:t>0</w:t>
            </w:r>
            <w:r>
              <w:rPr>
                <w:rFonts w:hint="eastAsia" w:ascii="仿宋_GB2312" w:hAnsi="宋体" w:eastAsia="仿宋_GB2312" w:cs="宋体"/>
                <w:sz w:val="24"/>
                <w:lang w:eastAsia="en-US"/>
              </w:rPr>
              <w:t>(含</w:t>
            </w:r>
            <w:r>
              <w:rPr>
                <w:rFonts w:hint="eastAsia" w:ascii="仿宋_GB2312" w:hAnsi="宋体" w:eastAsia="仿宋_GB2312" w:cs="宋体"/>
                <w:sz w:val="24"/>
              </w:rPr>
              <w:t>70</w:t>
            </w:r>
            <w:r>
              <w:rPr>
                <w:rFonts w:hint="eastAsia" w:ascii="仿宋_GB2312" w:hAnsi="宋体" w:eastAsia="仿宋_GB2312" w:cs="宋体"/>
                <w:sz w:val="24"/>
                <w:lang w:eastAsia="en-US"/>
              </w:rPr>
              <w:t>)</w:t>
            </w:r>
          </w:p>
        </w:tc>
        <w:tc>
          <w:tcPr>
            <w:tcW w:w="1103" w:type="dxa"/>
            <w:vAlign w:val="center"/>
          </w:tcPr>
          <w:p w14:paraId="2C6395E7">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基本合格</w:t>
            </w:r>
          </w:p>
        </w:tc>
        <w:tc>
          <w:tcPr>
            <w:tcW w:w="3841" w:type="dxa"/>
          </w:tcPr>
          <w:p w14:paraId="19497AB7">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每扣1分扣除费用5000元计算</w:t>
            </w:r>
          </w:p>
        </w:tc>
        <w:tc>
          <w:tcPr>
            <w:tcW w:w="736" w:type="dxa"/>
            <w:vMerge w:val="continue"/>
          </w:tcPr>
          <w:p w14:paraId="501CB1F1">
            <w:pPr>
              <w:pStyle w:val="69"/>
              <w:ind w:left="480" w:hanging="480"/>
              <w:rPr>
                <w:rFonts w:ascii="仿宋_GB2312" w:eastAsia="仿宋_GB2312"/>
                <w:sz w:val="24"/>
                <w:szCs w:val="24"/>
                <w:lang w:eastAsia="zh-CN"/>
              </w:rPr>
            </w:pPr>
          </w:p>
        </w:tc>
      </w:tr>
      <w:tr w14:paraId="3DCB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31CBC285">
            <w:pPr>
              <w:pStyle w:val="46"/>
              <w:numPr>
                <w:ilvl w:val="0"/>
                <w:numId w:val="14"/>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7A730DFE">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69</w:t>
            </w:r>
            <w:r>
              <w:rPr>
                <w:rFonts w:hint="eastAsia" w:ascii="仿宋_GB2312" w:hAnsi="宋体" w:eastAsia="仿宋_GB2312" w:cs="宋体"/>
                <w:sz w:val="24"/>
                <w:lang w:eastAsia="en-US"/>
              </w:rPr>
              <w:t>-</w:t>
            </w:r>
            <w:r>
              <w:rPr>
                <w:rFonts w:hint="eastAsia" w:ascii="仿宋_GB2312" w:hAnsi="宋体" w:eastAsia="仿宋_GB2312" w:cs="宋体"/>
                <w:sz w:val="24"/>
              </w:rPr>
              <w:t>60</w:t>
            </w:r>
            <w:r>
              <w:rPr>
                <w:rFonts w:hint="eastAsia" w:ascii="仿宋_GB2312" w:hAnsi="宋体" w:eastAsia="仿宋_GB2312" w:cs="宋体"/>
                <w:sz w:val="24"/>
                <w:lang w:eastAsia="en-US"/>
              </w:rPr>
              <w:t>(含</w:t>
            </w:r>
            <w:r>
              <w:rPr>
                <w:rFonts w:hint="eastAsia" w:ascii="仿宋_GB2312" w:hAnsi="宋体" w:eastAsia="仿宋_GB2312" w:cs="宋体"/>
                <w:sz w:val="24"/>
              </w:rPr>
              <w:t>6</w:t>
            </w:r>
            <w:r>
              <w:rPr>
                <w:rFonts w:hint="eastAsia" w:ascii="仿宋_GB2312" w:hAnsi="宋体" w:eastAsia="仿宋_GB2312" w:cs="宋体"/>
                <w:sz w:val="24"/>
                <w:lang w:eastAsia="en-US"/>
              </w:rPr>
              <w:t>0)</w:t>
            </w:r>
          </w:p>
        </w:tc>
        <w:tc>
          <w:tcPr>
            <w:tcW w:w="1103" w:type="dxa"/>
            <w:vAlign w:val="center"/>
          </w:tcPr>
          <w:p w14:paraId="4E7F6926">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不合格</w:t>
            </w:r>
          </w:p>
        </w:tc>
        <w:tc>
          <w:tcPr>
            <w:tcW w:w="3841" w:type="dxa"/>
          </w:tcPr>
          <w:p w14:paraId="3FEDEFCD">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每扣1分扣除费用10000元计算</w:t>
            </w:r>
          </w:p>
        </w:tc>
        <w:tc>
          <w:tcPr>
            <w:tcW w:w="736" w:type="dxa"/>
            <w:vMerge w:val="continue"/>
          </w:tcPr>
          <w:p w14:paraId="6EA53D0A">
            <w:pPr>
              <w:pStyle w:val="69"/>
              <w:ind w:left="480" w:hanging="480"/>
              <w:rPr>
                <w:rFonts w:ascii="仿宋_GB2312" w:eastAsia="仿宋_GB2312"/>
                <w:sz w:val="24"/>
                <w:szCs w:val="24"/>
                <w:lang w:eastAsia="zh-CN"/>
              </w:rPr>
            </w:pPr>
          </w:p>
        </w:tc>
      </w:tr>
      <w:tr w14:paraId="5469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jc w:val="center"/>
        </w:trPr>
        <w:tc>
          <w:tcPr>
            <w:tcW w:w="762" w:type="dxa"/>
            <w:vAlign w:val="center"/>
          </w:tcPr>
          <w:p w14:paraId="28BCAA0D">
            <w:pPr>
              <w:pStyle w:val="46"/>
              <w:numPr>
                <w:ilvl w:val="0"/>
                <w:numId w:val="14"/>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397700A9">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w:t>
            </w:r>
            <w:r>
              <w:rPr>
                <w:rFonts w:hint="eastAsia" w:ascii="仿宋_GB2312" w:hAnsi="宋体" w:eastAsia="仿宋_GB2312" w:cs="宋体"/>
                <w:sz w:val="24"/>
                <w:lang w:eastAsia="en-US"/>
              </w:rPr>
              <w:t>0以下</w:t>
            </w:r>
          </w:p>
        </w:tc>
        <w:tc>
          <w:tcPr>
            <w:tcW w:w="1103" w:type="dxa"/>
            <w:vAlign w:val="center"/>
          </w:tcPr>
          <w:p w14:paraId="710CF55D">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差</w:t>
            </w:r>
          </w:p>
        </w:tc>
        <w:tc>
          <w:tcPr>
            <w:tcW w:w="3841" w:type="dxa"/>
          </w:tcPr>
          <w:p w14:paraId="6AB901CC">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给予运营企业</w:t>
            </w:r>
            <w:r>
              <w:rPr>
                <w:rFonts w:hint="eastAsia" w:ascii="仿宋_GB2312" w:hAnsi="宋体" w:eastAsia="仿宋_GB2312" w:cs="宋体"/>
                <w:sz w:val="24"/>
                <w:lang w:eastAsia="zh-CN"/>
              </w:rPr>
              <w:t>书面限期整改通知</w:t>
            </w:r>
            <w:r>
              <w:rPr>
                <w:rFonts w:hint="eastAsia" w:ascii="仿宋_GB2312" w:hAnsi="宋体" w:eastAsia="仿宋_GB2312" w:cs="宋体"/>
                <w:sz w:val="24"/>
              </w:rPr>
              <w:t>，督促乙方于15日内进行整改，如到期后仍未合格，甲方可不予拨付服务费，并扣除当期服务费及履约保证金，且</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c>
          <w:tcPr>
            <w:tcW w:w="736" w:type="dxa"/>
          </w:tcPr>
          <w:p w14:paraId="6B5EAA2C">
            <w:pPr>
              <w:pStyle w:val="69"/>
              <w:ind w:left="480" w:hanging="480"/>
              <w:rPr>
                <w:rFonts w:ascii="仿宋_GB2312" w:eastAsia="仿宋_GB2312"/>
                <w:sz w:val="24"/>
                <w:szCs w:val="24"/>
                <w:lang w:eastAsia="zh-CN"/>
              </w:rPr>
            </w:pPr>
          </w:p>
        </w:tc>
      </w:tr>
      <w:tr w14:paraId="65E3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762" w:type="dxa"/>
            <w:vAlign w:val="center"/>
          </w:tcPr>
          <w:p w14:paraId="6AD067CC">
            <w:pPr>
              <w:pStyle w:val="46"/>
              <w:numPr>
                <w:ilvl w:val="0"/>
                <w:numId w:val="14"/>
              </w:numPr>
              <w:spacing w:line="240" w:lineRule="auto"/>
              <w:ind w:left="0" w:firstLine="0" w:firstLineChars="0"/>
              <w:jc w:val="center"/>
              <w:rPr>
                <w:rFonts w:ascii="仿宋_GB2312" w:eastAsia="仿宋_GB2312"/>
                <w:sz w:val="24"/>
              </w:rPr>
            </w:pPr>
          </w:p>
        </w:tc>
        <w:tc>
          <w:tcPr>
            <w:tcW w:w="7608" w:type="dxa"/>
            <w:gridSpan w:val="4"/>
            <w:vAlign w:val="center"/>
          </w:tcPr>
          <w:p w14:paraId="5E1DBA99">
            <w:pPr>
              <w:spacing w:line="240" w:lineRule="auto"/>
              <w:rPr>
                <w:rFonts w:ascii="仿宋_GB2312" w:eastAsia="仿宋_GB2312"/>
                <w:sz w:val="24"/>
              </w:rPr>
            </w:pPr>
            <w:r>
              <w:rPr>
                <w:rFonts w:hint="eastAsia" w:ascii="仿宋_GB2312" w:hAnsi="宋体" w:eastAsia="仿宋_GB2312" w:cs="宋体"/>
                <w:sz w:val="24"/>
              </w:rPr>
              <w:t>当乙方连续3个月考评得分低于69分(不含)时，</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r>
    </w:tbl>
    <w:p w14:paraId="508F3FAC">
      <w:pPr>
        <w:spacing w:line="50" w:lineRule="auto"/>
        <w:jc w:val="left"/>
        <w:rPr>
          <w:sz w:val="2"/>
        </w:rPr>
      </w:pPr>
    </w:p>
    <w:p w14:paraId="4E6E84E7">
      <w:pPr>
        <w:pStyle w:val="5"/>
        <w:ind w:firstLine="560"/>
        <w:rPr>
          <w:rFonts w:hint="eastAsia"/>
        </w:rPr>
      </w:pPr>
      <w:r>
        <w:t>备注：考核细则按照中央、省、市、区城市管理相关规定及时调整。</w:t>
      </w:r>
    </w:p>
    <w:p w14:paraId="58800E07">
      <w:pPr>
        <w:pStyle w:val="5"/>
        <w:ind w:firstLine="560"/>
        <w:rPr>
          <w:rFonts w:hint="eastAsia"/>
        </w:rPr>
        <w:sectPr>
          <w:pgSz w:w="11906" w:h="16838"/>
          <w:pgMar w:top="1440" w:right="1797" w:bottom="1440" w:left="1797" w:header="851" w:footer="992" w:gutter="0"/>
          <w:cols w:space="425" w:num="1"/>
          <w:docGrid w:linePitch="381" w:charSpace="0"/>
        </w:sectPr>
      </w:pPr>
    </w:p>
    <w:p w14:paraId="2ECEC0C9">
      <w:pPr>
        <w:wordWrap w:val="0"/>
        <w:adjustRightInd w:val="0"/>
        <w:snapToGrid w:val="0"/>
        <w:jc w:val="center"/>
        <w:rPr>
          <w:rFonts w:hint="eastAsia" w:ascii="仿宋_GB2312" w:hAnsi="宋体" w:eastAsia="仿宋_GB2312" w:cs="仿宋"/>
          <w:b/>
          <w:kern w:val="0"/>
          <w:sz w:val="24"/>
        </w:rPr>
      </w:pPr>
      <w:r>
        <w:rPr>
          <w:rFonts w:hint="eastAsia" w:ascii="仿宋_GB2312" w:hAnsi="宋体" w:eastAsia="仿宋_GB2312" w:cs="仿宋"/>
          <w:b/>
          <w:kern w:val="0"/>
          <w:sz w:val="24"/>
        </w:rPr>
        <w:t>托里县城市路灯设施维护服务考核表</w:t>
      </w:r>
    </w:p>
    <w:tbl>
      <w:tblPr>
        <w:tblStyle w:val="3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065"/>
        <w:gridCol w:w="3538"/>
        <w:gridCol w:w="577"/>
        <w:gridCol w:w="2446"/>
        <w:gridCol w:w="448"/>
      </w:tblGrid>
      <w:tr w14:paraId="0B9F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069" w:type="dxa"/>
            <w:gridSpan w:val="3"/>
            <w:tcBorders>
              <w:tl2br w:val="nil"/>
              <w:tr2bl w:val="nil"/>
            </w:tcBorders>
            <w:vAlign w:val="center"/>
          </w:tcPr>
          <w:p w14:paraId="45F424CD">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考核单位：</w:t>
            </w:r>
          </w:p>
        </w:tc>
        <w:tc>
          <w:tcPr>
            <w:tcW w:w="3471" w:type="dxa"/>
            <w:gridSpan w:val="3"/>
            <w:tcBorders>
              <w:tl2br w:val="nil"/>
              <w:tr2bl w:val="nil"/>
            </w:tcBorders>
            <w:vAlign w:val="center"/>
          </w:tcPr>
          <w:p w14:paraId="0EA18AB9">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sz w:val="24"/>
              </w:rPr>
              <w:t>考核对象：</w:t>
            </w:r>
          </w:p>
        </w:tc>
      </w:tr>
      <w:tr w14:paraId="0A32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40" w:type="dxa"/>
            <w:gridSpan w:val="6"/>
            <w:tcBorders>
              <w:tl2br w:val="nil"/>
              <w:tr2bl w:val="nil"/>
            </w:tcBorders>
            <w:vAlign w:val="center"/>
          </w:tcPr>
          <w:p w14:paraId="0B1831F6">
            <w:pPr>
              <w:wordWrap w:val="0"/>
              <w:adjustRightInd w:val="0"/>
              <w:snapToGrid w:val="0"/>
              <w:spacing w:line="240" w:lineRule="auto"/>
              <w:jc w:val="left"/>
              <w:rPr>
                <w:rFonts w:hint="eastAsia" w:ascii="仿宋_GB2312" w:hAnsi="宋体" w:eastAsia="仿宋_GB2312" w:cs="仿宋"/>
                <w:bCs/>
                <w:kern w:val="0"/>
                <w:sz w:val="24"/>
              </w:rPr>
            </w:pPr>
            <w:r>
              <w:rPr>
                <w:rFonts w:hint="eastAsia" w:ascii="仿宋_GB2312" w:hAnsi="宋体" w:eastAsia="仿宋_GB2312" w:cs="仿宋"/>
                <w:bCs/>
                <w:kern w:val="0"/>
                <w:sz w:val="24"/>
              </w:rPr>
              <w:t xml:space="preserve">考核责任人：                                                                    </w:t>
            </w:r>
          </w:p>
          <w:p w14:paraId="7D55AF7A">
            <w:pPr>
              <w:wordWrap w:val="0"/>
              <w:adjustRightInd w:val="0"/>
              <w:snapToGrid w:val="0"/>
              <w:spacing w:line="240" w:lineRule="auto"/>
              <w:jc w:val="left"/>
              <w:rPr>
                <w:rFonts w:hint="eastAsia" w:ascii="仿宋_GB2312" w:hAnsi="宋体" w:eastAsia="仿宋_GB2312" w:cs="仿宋"/>
                <w:bCs/>
                <w:kern w:val="0"/>
                <w:sz w:val="24"/>
              </w:rPr>
            </w:pPr>
            <w:r>
              <w:rPr>
                <w:rFonts w:hint="eastAsia" w:ascii="仿宋_GB2312" w:hAnsi="宋体" w:eastAsia="仿宋_GB2312" w:cs="仿宋"/>
                <w:bCs/>
                <w:kern w:val="0"/>
                <w:sz w:val="24"/>
              </w:rPr>
              <w:t>考核日期:       年    月     日</w:t>
            </w:r>
          </w:p>
        </w:tc>
      </w:tr>
      <w:tr w14:paraId="24D2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66" w:type="dxa"/>
            <w:tcBorders>
              <w:tl2br w:val="nil"/>
              <w:tr2bl w:val="nil"/>
            </w:tcBorders>
            <w:vAlign w:val="center"/>
          </w:tcPr>
          <w:p w14:paraId="5CFC2B99">
            <w:pPr>
              <w:wordWrap w:val="0"/>
              <w:adjustRightInd w:val="0"/>
              <w:snapToGrid w:val="0"/>
              <w:spacing w:line="240" w:lineRule="auto"/>
              <w:jc w:val="center"/>
              <w:textAlignment w:val="center"/>
              <w:rPr>
                <w:rFonts w:hint="eastAsia" w:ascii="仿宋_GB2312" w:hAnsi="宋体" w:eastAsia="仿宋_GB2312" w:cs="仿宋"/>
                <w:b/>
                <w:sz w:val="24"/>
              </w:rPr>
            </w:pPr>
            <w:r>
              <w:rPr>
                <w:rFonts w:hint="eastAsia" w:ascii="仿宋_GB2312" w:hAnsi="宋体" w:eastAsia="仿宋_GB2312" w:cs="仿宋"/>
                <w:b/>
                <w:kern w:val="0"/>
                <w:sz w:val="24"/>
              </w:rPr>
              <w:t>序号</w:t>
            </w:r>
          </w:p>
        </w:tc>
        <w:tc>
          <w:tcPr>
            <w:tcW w:w="1065" w:type="dxa"/>
            <w:tcBorders>
              <w:tl2br w:val="nil"/>
              <w:tr2bl w:val="nil"/>
            </w:tcBorders>
            <w:vAlign w:val="center"/>
          </w:tcPr>
          <w:p w14:paraId="653E2ABE">
            <w:pPr>
              <w:wordWrap w:val="0"/>
              <w:adjustRightInd w:val="0"/>
              <w:snapToGrid w:val="0"/>
              <w:spacing w:line="240" w:lineRule="auto"/>
              <w:jc w:val="center"/>
              <w:textAlignment w:val="center"/>
              <w:rPr>
                <w:rFonts w:hint="eastAsia" w:ascii="仿宋_GB2312" w:hAnsi="宋体" w:eastAsia="仿宋_GB2312" w:cs="仿宋"/>
                <w:b/>
                <w:sz w:val="24"/>
              </w:rPr>
            </w:pPr>
            <w:r>
              <w:rPr>
                <w:rFonts w:hint="eastAsia" w:ascii="仿宋_GB2312" w:hAnsi="宋体" w:eastAsia="仿宋_GB2312" w:cs="仿宋"/>
                <w:b/>
                <w:kern w:val="0"/>
                <w:sz w:val="24"/>
              </w:rPr>
              <w:t>考核项目</w:t>
            </w:r>
          </w:p>
        </w:tc>
        <w:tc>
          <w:tcPr>
            <w:tcW w:w="4115" w:type="dxa"/>
            <w:gridSpan w:val="2"/>
            <w:tcBorders>
              <w:tl2br w:val="nil"/>
              <w:tr2bl w:val="nil"/>
            </w:tcBorders>
            <w:vAlign w:val="center"/>
          </w:tcPr>
          <w:p w14:paraId="23F93B5A">
            <w:pPr>
              <w:wordWrap w:val="0"/>
              <w:adjustRightInd w:val="0"/>
              <w:snapToGrid w:val="0"/>
              <w:spacing w:line="240" w:lineRule="auto"/>
              <w:jc w:val="center"/>
              <w:textAlignment w:val="center"/>
              <w:rPr>
                <w:rFonts w:hint="eastAsia" w:ascii="仿宋_GB2312" w:hAnsi="宋体" w:eastAsia="仿宋_GB2312" w:cs="仿宋"/>
                <w:b/>
                <w:sz w:val="24"/>
              </w:rPr>
            </w:pPr>
            <w:r>
              <w:rPr>
                <w:rFonts w:hint="eastAsia" w:ascii="仿宋_GB2312" w:hAnsi="宋体" w:eastAsia="仿宋_GB2312" w:cs="仿宋"/>
                <w:b/>
                <w:kern w:val="0"/>
                <w:sz w:val="24"/>
              </w:rPr>
              <w:t>考核内容</w:t>
            </w:r>
          </w:p>
        </w:tc>
        <w:tc>
          <w:tcPr>
            <w:tcW w:w="2446" w:type="dxa"/>
            <w:tcBorders>
              <w:tl2br w:val="nil"/>
              <w:tr2bl w:val="nil"/>
            </w:tcBorders>
            <w:vAlign w:val="center"/>
          </w:tcPr>
          <w:p w14:paraId="7D9ADCF6">
            <w:pPr>
              <w:wordWrap w:val="0"/>
              <w:adjustRightInd w:val="0"/>
              <w:snapToGrid w:val="0"/>
              <w:spacing w:line="240" w:lineRule="auto"/>
              <w:jc w:val="center"/>
              <w:textAlignment w:val="center"/>
              <w:rPr>
                <w:rFonts w:hint="eastAsia" w:ascii="仿宋_GB2312" w:hAnsi="宋体" w:eastAsia="仿宋_GB2312" w:cs="仿宋"/>
                <w:b/>
                <w:sz w:val="24"/>
              </w:rPr>
            </w:pPr>
            <w:r>
              <w:rPr>
                <w:rFonts w:hint="eastAsia" w:ascii="仿宋_GB2312" w:hAnsi="宋体" w:eastAsia="仿宋_GB2312" w:cs="仿宋"/>
                <w:b/>
                <w:kern w:val="0"/>
                <w:sz w:val="24"/>
              </w:rPr>
              <w:t>评分方法</w:t>
            </w:r>
          </w:p>
        </w:tc>
        <w:tc>
          <w:tcPr>
            <w:tcW w:w="448" w:type="dxa"/>
            <w:tcBorders>
              <w:tl2br w:val="nil"/>
              <w:tr2bl w:val="nil"/>
            </w:tcBorders>
            <w:vAlign w:val="center"/>
          </w:tcPr>
          <w:p w14:paraId="1EA1D9D9">
            <w:pPr>
              <w:wordWrap w:val="0"/>
              <w:adjustRightInd w:val="0"/>
              <w:snapToGrid w:val="0"/>
              <w:spacing w:line="240" w:lineRule="auto"/>
              <w:jc w:val="center"/>
              <w:textAlignment w:val="center"/>
              <w:rPr>
                <w:rFonts w:hint="eastAsia" w:ascii="仿宋_GB2312" w:hAnsi="宋体" w:eastAsia="仿宋_GB2312" w:cs="仿宋"/>
                <w:b/>
                <w:kern w:val="0"/>
                <w:sz w:val="24"/>
              </w:rPr>
            </w:pPr>
            <w:r>
              <w:rPr>
                <w:rFonts w:hint="eastAsia" w:ascii="仿宋_GB2312" w:hAnsi="宋体" w:eastAsia="仿宋_GB2312" w:cs="仿宋"/>
                <w:b/>
                <w:kern w:val="0"/>
                <w:sz w:val="24"/>
              </w:rPr>
              <w:t>扣分</w:t>
            </w:r>
          </w:p>
        </w:tc>
      </w:tr>
      <w:tr w14:paraId="4782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66" w:type="dxa"/>
            <w:tcBorders>
              <w:tl2br w:val="nil"/>
              <w:tr2bl w:val="nil"/>
            </w:tcBorders>
            <w:vAlign w:val="center"/>
          </w:tcPr>
          <w:p w14:paraId="77EEAA32">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1</w:t>
            </w:r>
          </w:p>
        </w:tc>
        <w:tc>
          <w:tcPr>
            <w:tcW w:w="1065" w:type="dxa"/>
            <w:tcBorders>
              <w:tl2br w:val="nil"/>
              <w:tr2bl w:val="nil"/>
            </w:tcBorders>
            <w:vAlign w:val="center"/>
          </w:tcPr>
          <w:p w14:paraId="38C337A8">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亮灯率考核</w:t>
            </w:r>
          </w:p>
        </w:tc>
        <w:tc>
          <w:tcPr>
            <w:tcW w:w="4115" w:type="dxa"/>
            <w:gridSpan w:val="2"/>
            <w:tcBorders>
              <w:tl2br w:val="nil"/>
              <w:tr2bl w:val="nil"/>
            </w:tcBorders>
            <w:vAlign w:val="center"/>
          </w:tcPr>
          <w:p w14:paraId="416A360D">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主干道路段日常亮灯率≥98%，次干道路段日常亮灯率≥95%，逢各类创城检查时亮灯率提升至98%。</w:t>
            </w:r>
          </w:p>
        </w:tc>
        <w:tc>
          <w:tcPr>
            <w:tcW w:w="2446" w:type="dxa"/>
            <w:tcBorders>
              <w:tl2br w:val="nil"/>
              <w:tr2bl w:val="nil"/>
            </w:tcBorders>
            <w:vAlign w:val="center"/>
          </w:tcPr>
          <w:p w14:paraId="164E816D">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月度考核结果亮灯率每处每低于标准0.1%扣0.1分。</w:t>
            </w:r>
          </w:p>
        </w:tc>
        <w:tc>
          <w:tcPr>
            <w:tcW w:w="448" w:type="dxa"/>
            <w:tcBorders>
              <w:tl2br w:val="nil"/>
              <w:tr2bl w:val="nil"/>
            </w:tcBorders>
            <w:vAlign w:val="center"/>
          </w:tcPr>
          <w:p w14:paraId="40FBC903">
            <w:pPr>
              <w:wordWrap w:val="0"/>
              <w:adjustRightInd w:val="0"/>
              <w:snapToGrid w:val="0"/>
              <w:spacing w:line="240" w:lineRule="auto"/>
              <w:jc w:val="center"/>
              <w:rPr>
                <w:rFonts w:hint="eastAsia" w:ascii="仿宋_GB2312" w:hAnsi="宋体" w:eastAsia="仿宋_GB2312" w:cs="仿宋"/>
                <w:bCs/>
                <w:sz w:val="24"/>
              </w:rPr>
            </w:pPr>
          </w:p>
        </w:tc>
      </w:tr>
      <w:tr w14:paraId="7F2B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66" w:type="dxa"/>
            <w:tcBorders>
              <w:tl2br w:val="nil"/>
              <w:tr2bl w:val="nil"/>
            </w:tcBorders>
            <w:vAlign w:val="center"/>
          </w:tcPr>
          <w:p w14:paraId="53C3AA90">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2</w:t>
            </w:r>
          </w:p>
        </w:tc>
        <w:tc>
          <w:tcPr>
            <w:tcW w:w="1065" w:type="dxa"/>
            <w:tcBorders>
              <w:tl2br w:val="nil"/>
              <w:tr2bl w:val="nil"/>
            </w:tcBorders>
            <w:vAlign w:val="center"/>
          </w:tcPr>
          <w:p w14:paraId="4906A607">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设施完好率考核</w:t>
            </w:r>
          </w:p>
        </w:tc>
        <w:tc>
          <w:tcPr>
            <w:tcW w:w="4115" w:type="dxa"/>
            <w:gridSpan w:val="2"/>
            <w:tcBorders>
              <w:tl2br w:val="nil"/>
              <w:tr2bl w:val="nil"/>
            </w:tcBorders>
            <w:vAlign w:val="center"/>
          </w:tcPr>
          <w:p w14:paraId="42D93A07">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路灯设施（含灯具、线路、电缆、配电箱、控制箱及其它辅材）完好率达到95%以上。</w:t>
            </w:r>
          </w:p>
        </w:tc>
        <w:tc>
          <w:tcPr>
            <w:tcW w:w="2446" w:type="dxa"/>
            <w:tcBorders>
              <w:tl2br w:val="nil"/>
              <w:tr2bl w:val="nil"/>
            </w:tcBorders>
            <w:vAlign w:val="center"/>
          </w:tcPr>
          <w:p w14:paraId="20E955D4">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完好率低于95%每下降0.1%扣0.1分。</w:t>
            </w:r>
          </w:p>
        </w:tc>
        <w:tc>
          <w:tcPr>
            <w:tcW w:w="448" w:type="dxa"/>
            <w:tcBorders>
              <w:tl2br w:val="nil"/>
              <w:tr2bl w:val="nil"/>
            </w:tcBorders>
            <w:vAlign w:val="center"/>
          </w:tcPr>
          <w:p w14:paraId="09004DD2">
            <w:pPr>
              <w:wordWrap w:val="0"/>
              <w:adjustRightInd w:val="0"/>
              <w:snapToGrid w:val="0"/>
              <w:spacing w:line="240" w:lineRule="auto"/>
              <w:jc w:val="center"/>
              <w:rPr>
                <w:rFonts w:hint="eastAsia" w:ascii="仿宋_GB2312" w:hAnsi="宋体" w:eastAsia="仿宋_GB2312" w:cs="仿宋"/>
                <w:bCs/>
                <w:sz w:val="24"/>
              </w:rPr>
            </w:pPr>
          </w:p>
        </w:tc>
      </w:tr>
      <w:tr w14:paraId="426E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66" w:type="dxa"/>
            <w:tcBorders>
              <w:tl2br w:val="nil"/>
              <w:tr2bl w:val="nil"/>
            </w:tcBorders>
            <w:vAlign w:val="center"/>
          </w:tcPr>
          <w:p w14:paraId="2F282867">
            <w:pPr>
              <w:wordWrap w:val="0"/>
              <w:adjustRightInd w:val="0"/>
              <w:snapToGrid w:val="0"/>
              <w:spacing w:line="240" w:lineRule="auto"/>
              <w:jc w:val="center"/>
              <w:rPr>
                <w:rFonts w:hint="eastAsia" w:ascii="仿宋_GB2312" w:hAnsi="宋体" w:eastAsia="仿宋_GB2312" w:cs="仿宋"/>
                <w:bCs/>
                <w:sz w:val="24"/>
              </w:rPr>
            </w:pPr>
            <w:r>
              <w:rPr>
                <w:rFonts w:hint="eastAsia" w:ascii="仿宋_GB2312" w:hAnsi="宋体" w:eastAsia="仿宋_GB2312" w:cs="仿宋"/>
                <w:bCs/>
                <w:sz w:val="24"/>
              </w:rPr>
              <w:t>3</w:t>
            </w:r>
          </w:p>
        </w:tc>
        <w:tc>
          <w:tcPr>
            <w:tcW w:w="1065" w:type="dxa"/>
            <w:tcBorders>
              <w:tl2br w:val="nil"/>
              <w:tr2bl w:val="nil"/>
            </w:tcBorders>
            <w:vAlign w:val="center"/>
          </w:tcPr>
          <w:p w14:paraId="6B037DCF">
            <w:pPr>
              <w:wordWrap w:val="0"/>
              <w:adjustRightInd w:val="0"/>
              <w:snapToGrid w:val="0"/>
              <w:spacing w:line="240" w:lineRule="auto"/>
              <w:jc w:val="center"/>
              <w:rPr>
                <w:rFonts w:hint="eastAsia" w:ascii="仿宋_GB2312" w:hAnsi="宋体" w:eastAsia="仿宋_GB2312" w:cs="仿宋"/>
                <w:bCs/>
                <w:sz w:val="24"/>
              </w:rPr>
            </w:pPr>
            <w:r>
              <w:rPr>
                <w:rFonts w:hint="eastAsia" w:ascii="仿宋_GB2312" w:hAnsi="宋体" w:eastAsia="仿宋_GB2312" w:cs="仿宋"/>
                <w:bCs/>
                <w:sz w:val="24"/>
              </w:rPr>
              <w:t>运行故障率考核</w:t>
            </w:r>
          </w:p>
        </w:tc>
        <w:tc>
          <w:tcPr>
            <w:tcW w:w="4115" w:type="dxa"/>
            <w:gridSpan w:val="2"/>
            <w:tcBorders>
              <w:tl2br w:val="nil"/>
              <w:tr2bl w:val="nil"/>
            </w:tcBorders>
            <w:vAlign w:val="center"/>
          </w:tcPr>
          <w:p w14:paraId="08F79AAB">
            <w:pPr>
              <w:wordWrap w:val="0"/>
              <w:adjustRightInd w:val="0"/>
              <w:snapToGrid w:val="0"/>
              <w:spacing w:line="240" w:lineRule="auto"/>
              <w:jc w:val="left"/>
              <w:textAlignment w:val="center"/>
              <w:rPr>
                <w:rFonts w:hint="eastAsia" w:ascii="仿宋_GB2312" w:hAnsi="宋体" w:eastAsia="仿宋_GB2312" w:cs="仿宋"/>
                <w:bCs/>
                <w:sz w:val="24"/>
                <w:highlight w:val="yellow"/>
              </w:rPr>
            </w:pPr>
            <w:r>
              <w:rPr>
                <w:rFonts w:hint="eastAsia" w:ascii="仿宋_GB2312" w:hAnsi="宋体" w:eastAsia="仿宋_GB2312" w:cs="仿宋"/>
                <w:bCs/>
                <w:kern w:val="0"/>
                <w:sz w:val="24"/>
              </w:rPr>
              <w:t>路灯设施运行是否有故障，故障率应控制在0.5%以内。</w:t>
            </w:r>
          </w:p>
        </w:tc>
        <w:tc>
          <w:tcPr>
            <w:tcW w:w="2446" w:type="dxa"/>
            <w:tcBorders>
              <w:tl2br w:val="nil"/>
              <w:tr2bl w:val="nil"/>
            </w:tcBorders>
            <w:vAlign w:val="center"/>
          </w:tcPr>
          <w:p w14:paraId="51034F8C">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每发现一处故障点扣0.5分。</w:t>
            </w:r>
          </w:p>
        </w:tc>
        <w:tc>
          <w:tcPr>
            <w:tcW w:w="448" w:type="dxa"/>
            <w:tcBorders>
              <w:tl2br w:val="nil"/>
              <w:tr2bl w:val="nil"/>
            </w:tcBorders>
            <w:vAlign w:val="center"/>
          </w:tcPr>
          <w:p w14:paraId="057A9491">
            <w:pPr>
              <w:wordWrap w:val="0"/>
              <w:adjustRightInd w:val="0"/>
              <w:snapToGrid w:val="0"/>
              <w:spacing w:line="240" w:lineRule="auto"/>
              <w:jc w:val="center"/>
              <w:rPr>
                <w:rFonts w:hint="eastAsia" w:ascii="仿宋_GB2312" w:hAnsi="宋体" w:eastAsia="仿宋_GB2312" w:cs="仿宋"/>
                <w:bCs/>
                <w:sz w:val="24"/>
              </w:rPr>
            </w:pPr>
          </w:p>
        </w:tc>
      </w:tr>
      <w:tr w14:paraId="079C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466" w:type="dxa"/>
            <w:vMerge w:val="restart"/>
            <w:tcBorders>
              <w:tl2br w:val="nil"/>
              <w:tr2bl w:val="nil"/>
            </w:tcBorders>
            <w:vAlign w:val="center"/>
          </w:tcPr>
          <w:p w14:paraId="5C50BAC6">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4</w:t>
            </w:r>
          </w:p>
        </w:tc>
        <w:tc>
          <w:tcPr>
            <w:tcW w:w="1065" w:type="dxa"/>
            <w:vMerge w:val="restart"/>
            <w:tcBorders>
              <w:tl2br w:val="nil"/>
              <w:tr2bl w:val="nil"/>
            </w:tcBorders>
            <w:vAlign w:val="center"/>
          </w:tcPr>
          <w:p w14:paraId="0A6293BE">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事故或应急处理及时率考核</w:t>
            </w:r>
          </w:p>
        </w:tc>
        <w:tc>
          <w:tcPr>
            <w:tcW w:w="4115" w:type="dxa"/>
            <w:gridSpan w:val="2"/>
            <w:tcBorders>
              <w:tl2br w:val="nil"/>
              <w:tr2bl w:val="nil"/>
            </w:tcBorders>
            <w:vAlign w:val="center"/>
          </w:tcPr>
          <w:p w14:paraId="378DE579">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12345平台投诉、领导巡线等渠道反馈的问题，维修单位收到指令后应在0.5小时内响应，1小时内到达现场，采取必要的安全处理措施，避免漏电等安全隐患。并在24小时内修复。</w:t>
            </w:r>
          </w:p>
        </w:tc>
        <w:tc>
          <w:tcPr>
            <w:tcW w:w="2446" w:type="dxa"/>
            <w:tcBorders>
              <w:tl2br w:val="nil"/>
              <w:tr2bl w:val="nil"/>
            </w:tcBorders>
            <w:noWrap/>
            <w:vAlign w:val="center"/>
          </w:tcPr>
          <w:p w14:paraId="00EAB9C5">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未按时响应和到达指定地点及时限内完成直接扣0.1分，延迟一天扣0.1分。</w:t>
            </w:r>
          </w:p>
        </w:tc>
        <w:tc>
          <w:tcPr>
            <w:tcW w:w="448" w:type="dxa"/>
            <w:tcBorders>
              <w:tl2br w:val="nil"/>
              <w:tr2bl w:val="nil"/>
            </w:tcBorders>
            <w:vAlign w:val="center"/>
          </w:tcPr>
          <w:p w14:paraId="5A25F5BF">
            <w:pPr>
              <w:wordWrap w:val="0"/>
              <w:adjustRightInd w:val="0"/>
              <w:snapToGrid w:val="0"/>
              <w:spacing w:line="240" w:lineRule="auto"/>
              <w:jc w:val="center"/>
              <w:rPr>
                <w:rFonts w:hint="eastAsia" w:ascii="仿宋_GB2312" w:hAnsi="宋体" w:eastAsia="仿宋_GB2312" w:cs="仿宋"/>
                <w:bCs/>
                <w:sz w:val="24"/>
              </w:rPr>
            </w:pPr>
          </w:p>
        </w:tc>
      </w:tr>
      <w:tr w14:paraId="19FB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66" w:type="dxa"/>
            <w:vMerge w:val="continue"/>
            <w:tcBorders>
              <w:tl2br w:val="nil"/>
              <w:tr2bl w:val="nil"/>
            </w:tcBorders>
            <w:vAlign w:val="center"/>
          </w:tcPr>
          <w:p w14:paraId="2D12C027">
            <w:pPr>
              <w:wordWrap w:val="0"/>
              <w:adjustRightInd w:val="0"/>
              <w:snapToGrid w:val="0"/>
              <w:spacing w:line="240" w:lineRule="auto"/>
              <w:jc w:val="center"/>
              <w:rPr>
                <w:rFonts w:hint="eastAsia" w:ascii="仿宋_GB2312" w:hAnsi="宋体" w:eastAsia="仿宋_GB2312" w:cs="仿宋"/>
                <w:bCs/>
                <w:sz w:val="24"/>
              </w:rPr>
            </w:pPr>
          </w:p>
        </w:tc>
        <w:tc>
          <w:tcPr>
            <w:tcW w:w="1065" w:type="dxa"/>
            <w:vMerge w:val="continue"/>
            <w:tcBorders>
              <w:tl2br w:val="nil"/>
              <w:tr2bl w:val="nil"/>
            </w:tcBorders>
            <w:vAlign w:val="center"/>
          </w:tcPr>
          <w:p w14:paraId="21C24343">
            <w:pPr>
              <w:wordWrap w:val="0"/>
              <w:adjustRightInd w:val="0"/>
              <w:snapToGrid w:val="0"/>
              <w:spacing w:line="240" w:lineRule="auto"/>
              <w:jc w:val="center"/>
              <w:rPr>
                <w:rFonts w:hint="eastAsia" w:ascii="仿宋_GB2312" w:hAnsi="宋体" w:eastAsia="仿宋_GB2312" w:cs="仿宋"/>
                <w:bCs/>
                <w:sz w:val="24"/>
              </w:rPr>
            </w:pPr>
          </w:p>
        </w:tc>
        <w:tc>
          <w:tcPr>
            <w:tcW w:w="4115" w:type="dxa"/>
            <w:gridSpan w:val="2"/>
            <w:tcBorders>
              <w:tl2br w:val="nil"/>
              <w:tr2bl w:val="nil"/>
            </w:tcBorders>
            <w:noWrap/>
            <w:vAlign w:val="center"/>
          </w:tcPr>
          <w:p w14:paraId="0D400EB4">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出现大面积灭灯或亮灯情况，应在24小时内修复。</w:t>
            </w:r>
          </w:p>
        </w:tc>
        <w:tc>
          <w:tcPr>
            <w:tcW w:w="2446" w:type="dxa"/>
            <w:tcBorders>
              <w:tl2br w:val="nil"/>
              <w:tr2bl w:val="nil"/>
            </w:tcBorders>
            <w:noWrap/>
            <w:vAlign w:val="center"/>
          </w:tcPr>
          <w:p w14:paraId="0CDF99C6">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未按时处理扣1分。</w:t>
            </w:r>
          </w:p>
        </w:tc>
        <w:tc>
          <w:tcPr>
            <w:tcW w:w="448" w:type="dxa"/>
            <w:tcBorders>
              <w:tl2br w:val="nil"/>
              <w:tr2bl w:val="nil"/>
            </w:tcBorders>
            <w:vAlign w:val="center"/>
          </w:tcPr>
          <w:p w14:paraId="0892E124">
            <w:pPr>
              <w:wordWrap w:val="0"/>
              <w:adjustRightInd w:val="0"/>
              <w:snapToGrid w:val="0"/>
              <w:spacing w:line="240" w:lineRule="auto"/>
              <w:jc w:val="center"/>
              <w:rPr>
                <w:rFonts w:hint="eastAsia" w:ascii="仿宋_GB2312" w:hAnsi="宋体" w:eastAsia="仿宋_GB2312" w:cs="仿宋"/>
                <w:bCs/>
                <w:sz w:val="24"/>
              </w:rPr>
            </w:pPr>
          </w:p>
        </w:tc>
      </w:tr>
      <w:tr w14:paraId="7D0D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466" w:type="dxa"/>
            <w:vMerge w:val="continue"/>
            <w:tcBorders>
              <w:tl2br w:val="nil"/>
              <w:tr2bl w:val="nil"/>
            </w:tcBorders>
            <w:vAlign w:val="center"/>
          </w:tcPr>
          <w:p w14:paraId="21B2DAB5">
            <w:pPr>
              <w:wordWrap w:val="0"/>
              <w:adjustRightInd w:val="0"/>
              <w:snapToGrid w:val="0"/>
              <w:spacing w:line="240" w:lineRule="auto"/>
              <w:jc w:val="center"/>
              <w:rPr>
                <w:rFonts w:hint="eastAsia" w:ascii="仿宋_GB2312" w:hAnsi="宋体" w:eastAsia="仿宋_GB2312" w:cs="仿宋"/>
                <w:bCs/>
                <w:sz w:val="24"/>
              </w:rPr>
            </w:pPr>
          </w:p>
        </w:tc>
        <w:tc>
          <w:tcPr>
            <w:tcW w:w="1065" w:type="dxa"/>
            <w:vMerge w:val="continue"/>
            <w:tcBorders>
              <w:tl2br w:val="nil"/>
              <w:tr2bl w:val="nil"/>
            </w:tcBorders>
            <w:vAlign w:val="center"/>
          </w:tcPr>
          <w:p w14:paraId="68138AD8">
            <w:pPr>
              <w:wordWrap w:val="0"/>
              <w:adjustRightInd w:val="0"/>
              <w:snapToGrid w:val="0"/>
              <w:spacing w:line="240" w:lineRule="auto"/>
              <w:jc w:val="center"/>
              <w:rPr>
                <w:rFonts w:hint="eastAsia" w:ascii="仿宋_GB2312" w:hAnsi="宋体" w:eastAsia="仿宋_GB2312" w:cs="仿宋"/>
                <w:bCs/>
                <w:sz w:val="24"/>
              </w:rPr>
            </w:pPr>
          </w:p>
        </w:tc>
        <w:tc>
          <w:tcPr>
            <w:tcW w:w="4115" w:type="dxa"/>
            <w:gridSpan w:val="2"/>
            <w:tcBorders>
              <w:tl2br w:val="nil"/>
              <w:tr2bl w:val="nil"/>
            </w:tcBorders>
            <w:noWrap/>
            <w:vAlign w:val="center"/>
          </w:tcPr>
          <w:p w14:paraId="05A8E5CA">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对被撞灯杆及时补立。在基础未损坏的情况下，7个工作日内补立完毕；基础损坏的应在15个工作日内补立完毕。</w:t>
            </w:r>
          </w:p>
        </w:tc>
        <w:tc>
          <w:tcPr>
            <w:tcW w:w="2446" w:type="dxa"/>
            <w:tcBorders>
              <w:tl2br w:val="nil"/>
              <w:tr2bl w:val="nil"/>
            </w:tcBorders>
            <w:vAlign w:val="center"/>
          </w:tcPr>
          <w:p w14:paraId="57E28235">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未按时补立，发现1处扣1分。</w:t>
            </w:r>
          </w:p>
        </w:tc>
        <w:tc>
          <w:tcPr>
            <w:tcW w:w="448" w:type="dxa"/>
            <w:tcBorders>
              <w:tl2br w:val="nil"/>
              <w:tr2bl w:val="nil"/>
            </w:tcBorders>
            <w:vAlign w:val="center"/>
          </w:tcPr>
          <w:p w14:paraId="270487BF">
            <w:pPr>
              <w:wordWrap w:val="0"/>
              <w:adjustRightInd w:val="0"/>
              <w:snapToGrid w:val="0"/>
              <w:spacing w:line="240" w:lineRule="auto"/>
              <w:jc w:val="center"/>
              <w:rPr>
                <w:rFonts w:hint="eastAsia" w:ascii="仿宋_GB2312" w:hAnsi="宋体" w:eastAsia="仿宋_GB2312" w:cs="仿宋"/>
                <w:bCs/>
                <w:sz w:val="24"/>
              </w:rPr>
            </w:pPr>
          </w:p>
        </w:tc>
      </w:tr>
      <w:tr w14:paraId="4B55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66" w:type="dxa"/>
            <w:vMerge w:val="continue"/>
            <w:tcBorders>
              <w:tl2br w:val="nil"/>
              <w:tr2bl w:val="nil"/>
            </w:tcBorders>
            <w:vAlign w:val="center"/>
          </w:tcPr>
          <w:p w14:paraId="584333AF">
            <w:pPr>
              <w:wordWrap w:val="0"/>
              <w:adjustRightInd w:val="0"/>
              <w:snapToGrid w:val="0"/>
              <w:spacing w:line="240" w:lineRule="auto"/>
              <w:jc w:val="center"/>
              <w:textAlignment w:val="center"/>
              <w:rPr>
                <w:rFonts w:hint="eastAsia" w:ascii="仿宋_GB2312" w:hAnsi="宋体" w:eastAsia="仿宋_GB2312" w:cs="仿宋"/>
                <w:bCs/>
                <w:kern w:val="0"/>
                <w:sz w:val="24"/>
              </w:rPr>
            </w:pPr>
          </w:p>
        </w:tc>
        <w:tc>
          <w:tcPr>
            <w:tcW w:w="1065" w:type="dxa"/>
            <w:vMerge w:val="continue"/>
            <w:tcBorders>
              <w:tl2br w:val="nil"/>
              <w:tr2bl w:val="nil"/>
            </w:tcBorders>
            <w:vAlign w:val="center"/>
          </w:tcPr>
          <w:p w14:paraId="7D4A3380">
            <w:pPr>
              <w:wordWrap w:val="0"/>
              <w:adjustRightInd w:val="0"/>
              <w:snapToGrid w:val="0"/>
              <w:spacing w:line="240" w:lineRule="auto"/>
              <w:jc w:val="center"/>
              <w:textAlignment w:val="center"/>
              <w:rPr>
                <w:rFonts w:hint="eastAsia" w:ascii="仿宋_GB2312" w:hAnsi="宋体" w:eastAsia="仿宋_GB2312" w:cs="仿宋"/>
                <w:bCs/>
                <w:kern w:val="0"/>
                <w:sz w:val="24"/>
              </w:rPr>
            </w:pPr>
          </w:p>
        </w:tc>
        <w:tc>
          <w:tcPr>
            <w:tcW w:w="4115" w:type="dxa"/>
            <w:gridSpan w:val="2"/>
            <w:tcBorders>
              <w:tl2br w:val="nil"/>
              <w:tr2bl w:val="nil"/>
            </w:tcBorders>
            <w:vAlign w:val="center"/>
          </w:tcPr>
          <w:p w14:paraId="00755E85">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对路灯地下电缆丢失的区域由中标维护单位及时恢复。</w:t>
            </w:r>
          </w:p>
        </w:tc>
        <w:tc>
          <w:tcPr>
            <w:tcW w:w="2446" w:type="dxa"/>
            <w:tcBorders>
              <w:tl2br w:val="nil"/>
              <w:tr2bl w:val="nil"/>
            </w:tcBorders>
            <w:noWrap/>
            <w:vAlign w:val="center"/>
          </w:tcPr>
          <w:p w14:paraId="6FDFCF71">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未及时恢复扣1分。</w:t>
            </w:r>
          </w:p>
        </w:tc>
        <w:tc>
          <w:tcPr>
            <w:tcW w:w="448" w:type="dxa"/>
            <w:tcBorders>
              <w:tl2br w:val="nil"/>
              <w:tr2bl w:val="nil"/>
            </w:tcBorders>
            <w:vAlign w:val="center"/>
          </w:tcPr>
          <w:p w14:paraId="697A2EF0">
            <w:pPr>
              <w:wordWrap w:val="0"/>
              <w:adjustRightInd w:val="0"/>
              <w:snapToGrid w:val="0"/>
              <w:spacing w:line="240" w:lineRule="auto"/>
              <w:jc w:val="center"/>
              <w:rPr>
                <w:rFonts w:hint="eastAsia" w:ascii="仿宋_GB2312" w:hAnsi="宋体" w:eastAsia="仿宋_GB2312" w:cs="仿宋"/>
                <w:bCs/>
                <w:sz w:val="24"/>
              </w:rPr>
            </w:pPr>
          </w:p>
        </w:tc>
      </w:tr>
      <w:tr w14:paraId="4CAE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66" w:type="dxa"/>
            <w:vMerge w:val="restart"/>
            <w:tcBorders>
              <w:tl2br w:val="nil"/>
              <w:tr2bl w:val="nil"/>
            </w:tcBorders>
            <w:vAlign w:val="center"/>
          </w:tcPr>
          <w:p w14:paraId="54E95E8B">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5</w:t>
            </w:r>
          </w:p>
        </w:tc>
        <w:tc>
          <w:tcPr>
            <w:tcW w:w="1065" w:type="dxa"/>
            <w:vMerge w:val="restart"/>
            <w:tcBorders>
              <w:tl2br w:val="nil"/>
              <w:tr2bl w:val="nil"/>
            </w:tcBorders>
            <w:vAlign w:val="center"/>
          </w:tcPr>
          <w:p w14:paraId="2B7008BD">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变压器维护考核</w:t>
            </w:r>
          </w:p>
        </w:tc>
        <w:tc>
          <w:tcPr>
            <w:tcW w:w="4115" w:type="dxa"/>
            <w:gridSpan w:val="2"/>
            <w:tcBorders>
              <w:tl2br w:val="nil"/>
              <w:tr2bl w:val="nil"/>
            </w:tcBorders>
            <w:vAlign w:val="center"/>
          </w:tcPr>
          <w:p w14:paraId="50D2D0BC">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变压器外观清洁，各部位接点牢固。变压器围栏无破损，围栏门及箱变门都应锁牢，一、二次套管和变压器外壳都应清洁。</w:t>
            </w:r>
          </w:p>
        </w:tc>
        <w:tc>
          <w:tcPr>
            <w:tcW w:w="2446" w:type="dxa"/>
            <w:tcBorders>
              <w:tl2br w:val="nil"/>
              <w:tr2bl w:val="nil"/>
            </w:tcBorders>
            <w:noWrap/>
            <w:vAlign w:val="center"/>
          </w:tcPr>
          <w:p w14:paraId="313B7681">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sz w:val="24"/>
              </w:rPr>
              <w:t>未达到标准扣1分。</w:t>
            </w:r>
          </w:p>
        </w:tc>
        <w:tc>
          <w:tcPr>
            <w:tcW w:w="448" w:type="dxa"/>
            <w:tcBorders>
              <w:tl2br w:val="nil"/>
              <w:tr2bl w:val="nil"/>
            </w:tcBorders>
            <w:vAlign w:val="center"/>
          </w:tcPr>
          <w:p w14:paraId="3243F90B">
            <w:pPr>
              <w:wordWrap w:val="0"/>
              <w:adjustRightInd w:val="0"/>
              <w:snapToGrid w:val="0"/>
              <w:spacing w:line="240" w:lineRule="auto"/>
              <w:jc w:val="center"/>
              <w:rPr>
                <w:rFonts w:hint="eastAsia" w:ascii="仿宋_GB2312" w:hAnsi="宋体" w:eastAsia="仿宋_GB2312" w:cs="仿宋"/>
                <w:bCs/>
                <w:sz w:val="24"/>
              </w:rPr>
            </w:pPr>
          </w:p>
        </w:tc>
      </w:tr>
      <w:tr w14:paraId="38B1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66" w:type="dxa"/>
            <w:vMerge w:val="continue"/>
            <w:tcBorders>
              <w:tl2br w:val="nil"/>
              <w:tr2bl w:val="nil"/>
            </w:tcBorders>
            <w:vAlign w:val="center"/>
          </w:tcPr>
          <w:p w14:paraId="726E6327">
            <w:pPr>
              <w:wordWrap w:val="0"/>
              <w:adjustRightInd w:val="0"/>
              <w:snapToGrid w:val="0"/>
              <w:spacing w:line="240" w:lineRule="auto"/>
              <w:jc w:val="center"/>
              <w:rPr>
                <w:rFonts w:hint="eastAsia" w:ascii="仿宋_GB2312" w:hAnsi="宋体" w:eastAsia="仿宋_GB2312" w:cs="仿宋"/>
                <w:bCs/>
                <w:sz w:val="24"/>
              </w:rPr>
            </w:pPr>
          </w:p>
        </w:tc>
        <w:tc>
          <w:tcPr>
            <w:tcW w:w="1065" w:type="dxa"/>
            <w:vMerge w:val="continue"/>
            <w:tcBorders>
              <w:tl2br w:val="nil"/>
              <w:tr2bl w:val="nil"/>
            </w:tcBorders>
            <w:vAlign w:val="center"/>
          </w:tcPr>
          <w:p w14:paraId="0F1E79D3">
            <w:pPr>
              <w:wordWrap w:val="0"/>
              <w:adjustRightInd w:val="0"/>
              <w:snapToGrid w:val="0"/>
              <w:spacing w:line="240" w:lineRule="auto"/>
              <w:jc w:val="center"/>
              <w:rPr>
                <w:rFonts w:hint="eastAsia" w:ascii="仿宋_GB2312" w:hAnsi="宋体" w:eastAsia="仿宋_GB2312" w:cs="仿宋"/>
                <w:bCs/>
                <w:sz w:val="24"/>
              </w:rPr>
            </w:pPr>
          </w:p>
        </w:tc>
        <w:tc>
          <w:tcPr>
            <w:tcW w:w="4115" w:type="dxa"/>
            <w:gridSpan w:val="2"/>
            <w:tcBorders>
              <w:tl2br w:val="nil"/>
              <w:tr2bl w:val="nil"/>
            </w:tcBorders>
            <w:noWrap/>
            <w:vAlign w:val="center"/>
          </w:tcPr>
          <w:p w14:paraId="71354D44">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路灯箱式变、节能柜、围栏外观清洁，无锈蚀现象，围栏内无杂草、垃圾等杂物。</w:t>
            </w:r>
          </w:p>
        </w:tc>
        <w:tc>
          <w:tcPr>
            <w:tcW w:w="2446" w:type="dxa"/>
            <w:tcBorders>
              <w:tl2br w:val="nil"/>
              <w:tr2bl w:val="nil"/>
            </w:tcBorders>
            <w:noWrap/>
            <w:vAlign w:val="center"/>
          </w:tcPr>
          <w:p w14:paraId="74A76354">
            <w:pPr>
              <w:wordWrap w:val="0"/>
              <w:adjustRightInd w:val="0"/>
              <w:snapToGrid w:val="0"/>
              <w:spacing w:line="240" w:lineRule="auto"/>
              <w:jc w:val="left"/>
              <w:rPr>
                <w:rFonts w:hint="eastAsia" w:ascii="仿宋_GB2312" w:hAnsi="宋体" w:eastAsia="仿宋_GB2312" w:cs="仿宋"/>
                <w:bCs/>
                <w:sz w:val="24"/>
              </w:rPr>
            </w:pPr>
            <w:r>
              <w:rPr>
                <w:rFonts w:hint="eastAsia" w:ascii="仿宋_GB2312" w:hAnsi="宋体" w:eastAsia="仿宋_GB2312" w:cs="仿宋"/>
                <w:bCs/>
                <w:sz w:val="24"/>
              </w:rPr>
              <w:t>未达到标准扣1分。</w:t>
            </w:r>
          </w:p>
        </w:tc>
        <w:tc>
          <w:tcPr>
            <w:tcW w:w="448" w:type="dxa"/>
            <w:tcBorders>
              <w:tl2br w:val="nil"/>
              <w:tr2bl w:val="nil"/>
            </w:tcBorders>
            <w:vAlign w:val="center"/>
          </w:tcPr>
          <w:p w14:paraId="7F1C4A5A">
            <w:pPr>
              <w:wordWrap w:val="0"/>
              <w:adjustRightInd w:val="0"/>
              <w:snapToGrid w:val="0"/>
              <w:spacing w:line="240" w:lineRule="auto"/>
              <w:jc w:val="center"/>
              <w:rPr>
                <w:rFonts w:hint="eastAsia" w:ascii="仿宋_GB2312" w:hAnsi="宋体" w:eastAsia="仿宋_GB2312" w:cs="仿宋"/>
                <w:bCs/>
                <w:sz w:val="24"/>
              </w:rPr>
            </w:pPr>
          </w:p>
        </w:tc>
      </w:tr>
      <w:tr w14:paraId="732C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66" w:type="dxa"/>
            <w:vMerge w:val="continue"/>
            <w:tcBorders>
              <w:tl2br w:val="nil"/>
              <w:tr2bl w:val="nil"/>
            </w:tcBorders>
            <w:vAlign w:val="center"/>
          </w:tcPr>
          <w:p w14:paraId="48ED43F6">
            <w:pPr>
              <w:wordWrap w:val="0"/>
              <w:adjustRightInd w:val="0"/>
              <w:snapToGrid w:val="0"/>
              <w:spacing w:line="240" w:lineRule="auto"/>
              <w:jc w:val="center"/>
              <w:rPr>
                <w:rFonts w:hint="eastAsia" w:ascii="仿宋_GB2312" w:hAnsi="宋体" w:eastAsia="仿宋_GB2312" w:cs="仿宋"/>
                <w:bCs/>
                <w:sz w:val="24"/>
              </w:rPr>
            </w:pPr>
          </w:p>
        </w:tc>
        <w:tc>
          <w:tcPr>
            <w:tcW w:w="1065" w:type="dxa"/>
            <w:vMerge w:val="continue"/>
            <w:tcBorders>
              <w:tl2br w:val="nil"/>
              <w:tr2bl w:val="nil"/>
            </w:tcBorders>
            <w:vAlign w:val="center"/>
          </w:tcPr>
          <w:p w14:paraId="03983E74">
            <w:pPr>
              <w:wordWrap w:val="0"/>
              <w:adjustRightInd w:val="0"/>
              <w:snapToGrid w:val="0"/>
              <w:spacing w:line="240" w:lineRule="auto"/>
              <w:jc w:val="center"/>
              <w:rPr>
                <w:rFonts w:hint="eastAsia" w:ascii="仿宋_GB2312" w:hAnsi="宋体" w:eastAsia="仿宋_GB2312" w:cs="仿宋"/>
                <w:bCs/>
                <w:sz w:val="24"/>
              </w:rPr>
            </w:pPr>
          </w:p>
        </w:tc>
        <w:tc>
          <w:tcPr>
            <w:tcW w:w="4115" w:type="dxa"/>
            <w:gridSpan w:val="2"/>
            <w:tcBorders>
              <w:tl2br w:val="nil"/>
              <w:tr2bl w:val="nil"/>
            </w:tcBorders>
            <w:noWrap/>
            <w:vAlign w:val="center"/>
          </w:tcPr>
          <w:p w14:paraId="4E63D5BF">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变压器接地引线与接地体连接应牢固、可靠，不应有接地线夹的螺丝松动或缠绕不紧、断股、断路现象。</w:t>
            </w:r>
          </w:p>
        </w:tc>
        <w:tc>
          <w:tcPr>
            <w:tcW w:w="2446" w:type="dxa"/>
            <w:tcBorders>
              <w:tl2br w:val="nil"/>
              <w:tr2bl w:val="nil"/>
            </w:tcBorders>
            <w:noWrap/>
            <w:vAlign w:val="center"/>
          </w:tcPr>
          <w:p w14:paraId="2B3F99AF">
            <w:pPr>
              <w:wordWrap w:val="0"/>
              <w:adjustRightInd w:val="0"/>
              <w:snapToGrid w:val="0"/>
              <w:spacing w:line="240" w:lineRule="auto"/>
              <w:jc w:val="left"/>
              <w:rPr>
                <w:rFonts w:hint="eastAsia" w:ascii="仿宋_GB2312" w:hAnsi="宋体" w:eastAsia="仿宋_GB2312" w:cs="仿宋"/>
                <w:bCs/>
                <w:sz w:val="24"/>
              </w:rPr>
            </w:pPr>
            <w:r>
              <w:rPr>
                <w:rFonts w:hint="eastAsia" w:ascii="仿宋_GB2312" w:hAnsi="宋体" w:eastAsia="仿宋_GB2312" w:cs="仿宋"/>
                <w:bCs/>
                <w:sz w:val="24"/>
              </w:rPr>
              <w:t>未达到标准扣1分。</w:t>
            </w:r>
          </w:p>
        </w:tc>
        <w:tc>
          <w:tcPr>
            <w:tcW w:w="448" w:type="dxa"/>
            <w:tcBorders>
              <w:tl2br w:val="nil"/>
              <w:tr2bl w:val="nil"/>
            </w:tcBorders>
            <w:vAlign w:val="center"/>
          </w:tcPr>
          <w:p w14:paraId="162614D5">
            <w:pPr>
              <w:wordWrap w:val="0"/>
              <w:adjustRightInd w:val="0"/>
              <w:snapToGrid w:val="0"/>
              <w:spacing w:line="240" w:lineRule="auto"/>
              <w:jc w:val="center"/>
              <w:rPr>
                <w:rFonts w:hint="eastAsia" w:ascii="仿宋_GB2312" w:hAnsi="宋体" w:eastAsia="仿宋_GB2312" w:cs="仿宋"/>
                <w:bCs/>
                <w:sz w:val="24"/>
              </w:rPr>
            </w:pPr>
          </w:p>
        </w:tc>
      </w:tr>
      <w:tr w14:paraId="4707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466" w:type="dxa"/>
            <w:vMerge w:val="restart"/>
            <w:tcBorders>
              <w:tl2br w:val="nil"/>
              <w:tr2bl w:val="nil"/>
            </w:tcBorders>
            <w:vAlign w:val="center"/>
          </w:tcPr>
          <w:p w14:paraId="62AF5F41">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6</w:t>
            </w:r>
          </w:p>
        </w:tc>
        <w:tc>
          <w:tcPr>
            <w:tcW w:w="1065" w:type="dxa"/>
            <w:vMerge w:val="restart"/>
            <w:tcBorders>
              <w:tl2br w:val="nil"/>
              <w:tr2bl w:val="nil"/>
            </w:tcBorders>
            <w:vAlign w:val="center"/>
          </w:tcPr>
          <w:p w14:paraId="08F90708">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日常巡视考核</w:t>
            </w:r>
          </w:p>
        </w:tc>
        <w:tc>
          <w:tcPr>
            <w:tcW w:w="4115" w:type="dxa"/>
            <w:gridSpan w:val="2"/>
            <w:tcBorders>
              <w:tl2br w:val="nil"/>
              <w:tr2bl w:val="nil"/>
            </w:tcBorders>
            <w:vAlign w:val="center"/>
          </w:tcPr>
          <w:p w14:paraId="14FCF5F2">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中标服务单位须建立专业巡视巡查队伍并有电工执照，配备巡查车辆及工具，坚持每月5次，每次5天，做好巡视记录，巡视中发现问题须迅速进行预警处理，并立即向考核人报备。由于漏视或者巡视不到位出现安全事故或社会影响的，由中标服务单位全权负责。</w:t>
            </w:r>
          </w:p>
        </w:tc>
        <w:tc>
          <w:tcPr>
            <w:tcW w:w="2446" w:type="dxa"/>
            <w:tcBorders>
              <w:tl2br w:val="nil"/>
              <w:tr2bl w:val="nil"/>
            </w:tcBorders>
            <w:noWrap/>
            <w:vAlign w:val="center"/>
          </w:tcPr>
          <w:p w14:paraId="39FC8D11">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sz w:val="24"/>
              </w:rPr>
              <w:t>巡视记录：完整、详实、清晰按照考核要求进行考核未达到标准扣2分。</w:t>
            </w:r>
          </w:p>
        </w:tc>
        <w:tc>
          <w:tcPr>
            <w:tcW w:w="448" w:type="dxa"/>
            <w:tcBorders>
              <w:tl2br w:val="nil"/>
              <w:tr2bl w:val="nil"/>
            </w:tcBorders>
            <w:vAlign w:val="center"/>
          </w:tcPr>
          <w:p w14:paraId="37CD921E">
            <w:pPr>
              <w:wordWrap w:val="0"/>
              <w:adjustRightInd w:val="0"/>
              <w:snapToGrid w:val="0"/>
              <w:spacing w:line="240" w:lineRule="auto"/>
              <w:jc w:val="center"/>
              <w:rPr>
                <w:rFonts w:hint="eastAsia" w:ascii="仿宋_GB2312" w:hAnsi="宋体" w:eastAsia="仿宋_GB2312" w:cs="仿宋"/>
                <w:bCs/>
                <w:sz w:val="24"/>
              </w:rPr>
            </w:pPr>
          </w:p>
        </w:tc>
      </w:tr>
      <w:tr w14:paraId="7AB7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466" w:type="dxa"/>
            <w:vMerge w:val="continue"/>
            <w:tcBorders>
              <w:tl2br w:val="nil"/>
              <w:tr2bl w:val="nil"/>
            </w:tcBorders>
            <w:vAlign w:val="center"/>
          </w:tcPr>
          <w:p w14:paraId="0E708EE1">
            <w:pPr>
              <w:wordWrap w:val="0"/>
              <w:adjustRightInd w:val="0"/>
              <w:snapToGrid w:val="0"/>
              <w:spacing w:line="240" w:lineRule="auto"/>
              <w:jc w:val="center"/>
              <w:rPr>
                <w:rFonts w:hint="eastAsia" w:ascii="仿宋_GB2312" w:hAnsi="宋体" w:eastAsia="仿宋_GB2312" w:cs="仿宋"/>
                <w:bCs/>
                <w:sz w:val="24"/>
              </w:rPr>
            </w:pPr>
          </w:p>
        </w:tc>
        <w:tc>
          <w:tcPr>
            <w:tcW w:w="1065" w:type="dxa"/>
            <w:vMerge w:val="continue"/>
            <w:tcBorders>
              <w:tl2br w:val="nil"/>
              <w:tr2bl w:val="nil"/>
            </w:tcBorders>
            <w:vAlign w:val="center"/>
          </w:tcPr>
          <w:p w14:paraId="5B865289">
            <w:pPr>
              <w:wordWrap w:val="0"/>
              <w:adjustRightInd w:val="0"/>
              <w:snapToGrid w:val="0"/>
              <w:spacing w:line="240" w:lineRule="auto"/>
              <w:jc w:val="center"/>
              <w:rPr>
                <w:rFonts w:hint="eastAsia" w:ascii="仿宋_GB2312" w:hAnsi="宋体" w:eastAsia="仿宋_GB2312" w:cs="仿宋"/>
                <w:bCs/>
                <w:sz w:val="24"/>
              </w:rPr>
            </w:pPr>
          </w:p>
        </w:tc>
        <w:tc>
          <w:tcPr>
            <w:tcW w:w="4115" w:type="dxa"/>
            <w:gridSpan w:val="2"/>
            <w:tcBorders>
              <w:tl2br w:val="nil"/>
              <w:tr2bl w:val="nil"/>
            </w:tcBorders>
            <w:vAlign w:val="center"/>
          </w:tcPr>
          <w:p w14:paraId="4E49B33F">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中标服务单位在巡视过程中发现窃电路灯设施的行为有义务及时上报管理单位，发现中标服务单位协助用电方私接路灯设施电源的行为，按照考核单位的意见进行拆除，并将依法追究刑事责任。巡视发现的问题须按照《路灯设施维护服务考核表》中有关维修时限之规定完成维修处理。</w:t>
            </w:r>
          </w:p>
        </w:tc>
        <w:tc>
          <w:tcPr>
            <w:tcW w:w="2446" w:type="dxa"/>
            <w:tcBorders>
              <w:tl2br w:val="nil"/>
              <w:tr2bl w:val="nil"/>
            </w:tcBorders>
            <w:noWrap/>
            <w:vAlign w:val="center"/>
          </w:tcPr>
          <w:p w14:paraId="21A92C83">
            <w:pPr>
              <w:wordWrap w:val="0"/>
              <w:adjustRightInd w:val="0"/>
              <w:snapToGrid w:val="0"/>
              <w:spacing w:line="240" w:lineRule="auto"/>
              <w:jc w:val="left"/>
              <w:rPr>
                <w:rFonts w:hint="eastAsia" w:ascii="仿宋_GB2312" w:hAnsi="宋体" w:eastAsia="仿宋_GB2312" w:cs="仿宋"/>
                <w:bCs/>
                <w:sz w:val="24"/>
              </w:rPr>
            </w:pPr>
            <w:r>
              <w:rPr>
                <w:rFonts w:hint="eastAsia" w:ascii="仿宋_GB2312" w:hAnsi="宋体" w:eastAsia="仿宋_GB2312" w:cs="仿宋"/>
                <w:bCs/>
                <w:sz w:val="24"/>
              </w:rPr>
              <w:t>巡视车辆及巡视人员：按照巡视要求配备齐全进行考核（每检查一次不符合要求扣1分）未达到标准扣2分。巡视不到位，灯杆、灯头等设施造成人身财产安全事故的，由中标</w:t>
            </w:r>
            <w:r>
              <w:rPr>
                <w:rFonts w:hint="eastAsia" w:ascii="仿宋_GB2312" w:hAnsi="宋体" w:eastAsia="仿宋_GB2312" w:cs="仿宋"/>
                <w:bCs/>
                <w:kern w:val="0"/>
                <w:sz w:val="24"/>
              </w:rPr>
              <w:t>服务</w:t>
            </w:r>
            <w:r>
              <w:rPr>
                <w:rFonts w:hint="eastAsia" w:ascii="仿宋_GB2312" w:hAnsi="宋体" w:eastAsia="仿宋_GB2312" w:cs="仿宋"/>
                <w:bCs/>
                <w:sz w:val="24"/>
              </w:rPr>
              <w:t>单位承担完全责任，一次扣5分。</w:t>
            </w:r>
          </w:p>
        </w:tc>
        <w:tc>
          <w:tcPr>
            <w:tcW w:w="448" w:type="dxa"/>
            <w:tcBorders>
              <w:tl2br w:val="nil"/>
              <w:tr2bl w:val="nil"/>
            </w:tcBorders>
            <w:vAlign w:val="center"/>
          </w:tcPr>
          <w:p w14:paraId="7CFF21DE">
            <w:pPr>
              <w:wordWrap w:val="0"/>
              <w:adjustRightInd w:val="0"/>
              <w:snapToGrid w:val="0"/>
              <w:spacing w:line="240" w:lineRule="auto"/>
              <w:jc w:val="center"/>
              <w:rPr>
                <w:rFonts w:hint="eastAsia" w:ascii="仿宋_GB2312" w:hAnsi="宋体" w:eastAsia="仿宋_GB2312" w:cs="仿宋"/>
                <w:bCs/>
                <w:sz w:val="24"/>
              </w:rPr>
            </w:pPr>
          </w:p>
        </w:tc>
      </w:tr>
      <w:tr w14:paraId="73C0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66" w:type="dxa"/>
            <w:tcBorders>
              <w:tl2br w:val="nil"/>
              <w:tr2bl w:val="nil"/>
            </w:tcBorders>
            <w:vAlign w:val="center"/>
          </w:tcPr>
          <w:p w14:paraId="61C4CB50">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sz w:val="24"/>
              </w:rPr>
              <w:t>7</w:t>
            </w:r>
          </w:p>
        </w:tc>
        <w:tc>
          <w:tcPr>
            <w:tcW w:w="1065" w:type="dxa"/>
            <w:tcBorders>
              <w:tl2br w:val="nil"/>
              <w:tr2bl w:val="nil"/>
            </w:tcBorders>
            <w:vAlign w:val="center"/>
          </w:tcPr>
          <w:p w14:paraId="53A50FF1">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路灯设施安全责任考核</w:t>
            </w:r>
          </w:p>
        </w:tc>
        <w:tc>
          <w:tcPr>
            <w:tcW w:w="4115" w:type="dxa"/>
            <w:gridSpan w:val="2"/>
            <w:tcBorders>
              <w:tl2br w:val="nil"/>
              <w:tr2bl w:val="nil"/>
            </w:tcBorders>
            <w:noWrap/>
            <w:vAlign w:val="center"/>
          </w:tcPr>
          <w:p w14:paraId="6826D523">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由于路灯设施隐患维修养护不到位的，造成灯头掉落或群众上访并被新闻媒体曝光。</w:t>
            </w:r>
          </w:p>
        </w:tc>
        <w:tc>
          <w:tcPr>
            <w:tcW w:w="2446" w:type="dxa"/>
            <w:tcBorders>
              <w:tl2br w:val="nil"/>
              <w:tr2bl w:val="nil"/>
            </w:tcBorders>
            <w:noWrap/>
            <w:vAlign w:val="center"/>
          </w:tcPr>
          <w:p w14:paraId="34D037BF">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经核实确属中标服务单位责任的直接扣2分。</w:t>
            </w:r>
          </w:p>
        </w:tc>
        <w:tc>
          <w:tcPr>
            <w:tcW w:w="448" w:type="dxa"/>
            <w:tcBorders>
              <w:tl2br w:val="nil"/>
              <w:tr2bl w:val="nil"/>
            </w:tcBorders>
            <w:vAlign w:val="center"/>
          </w:tcPr>
          <w:p w14:paraId="5E35322C">
            <w:pPr>
              <w:wordWrap w:val="0"/>
              <w:adjustRightInd w:val="0"/>
              <w:snapToGrid w:val="0"/>
              <w:spacing w:line="240" w:lineRule="auto"/>
              <w:jc w:val="center"/>
              <w:rPr>
                <w:rFonts w:hint="eastAsia" w:ascii="仿宋_GB2312" w:hAnsi="宋体" w:eastAsia="仿宋_GB2312" w:cs="仿宋"/>
                <w:bCs/>
                <w:sz w:val="24"/>
              </w:rPr>
            </w:pPr>
          </w:p>
        </w:tc>
      </w:tr>
      <w:tr w14:paraId="3C94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466" w:type="dxa"/>
            <w:tcBorders>
              <w:tl2br w:val="nil"/>
              <w:tr2bl w:val="nil"/>
            </w:tcBorders>
            <w:vAlign w:val="center"/>
          </w:tcPr>
          <w:p w14:paraId="0C272490">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8</w:t>
            </w:r>
          </w:p>
        </w:tc>
        <w:tc>
          <w:tcPr>
            <w:tcW w:w="1065" w:type="dxa"/>
            <w:tcBorders>
              <w:tl2br w:val="nil"/>
              <w:tr2bl w:val="nil"/>
            </w:tcBorders>
            <w:vAlign w:val="center"/>
          </w:tcPr>
          <w:p w14:paraId="79E0F575">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维护材料考核</w:t>
            </w:r>
          </w:p>
        </w:tc>
        <w:tc>
          <w:tcPr>
            <w:tcW w:w="4115" w:type="dxa"/>
            <w:gridSpan w:val="2"/>
            <w:tcBorders>
              <w:tl2br w:val="nil"/>
              <w:tr2bl w:val="nil"/>
            </w:tcBorders>
            <w:noWrap/>
            <w:vAlign w:val="center"/>
          </w:tcPr>
          <w:p w14:paraId="213B8FA2">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维护材料及流程应符合管理部门、考核人要求，且满足国家及行业标准。</w:t>
            </w:r>
          </w:p>
        </w:tc>
        <w:tc>
          <w:tcPr>
            <w:tcW w:w="2446" w:type="dxa"/>
            <w:tcBorders>
              <w:tl2br w:val="nil"/>
              <w:tr2bl w:val="nil"/>
            </w:tcBorders>
            <w:noWrap/>
            <w:vAlign w:val="center"/>
          </w:tcPr>
          <w:p w14:paraId="39066A6F">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未按流程擅自使用维护备料器材，或材料帐物未达到考核人要求及行业标准的，每发现一次扣0.5分。</w:t>
            </w:r>
          </w:p>
        </w:tc>
        <w:tc>
          <w:tcPr>
            <w:tcW w:w="448" w:type="dxa"/>
            <w:tcBorders>
              <w:tl2br w:val="nil"/>
              <w:tr2bl w:val="nil"/>
            </w:tcBorders>
            <w:vAlign w:val="center"/>
          </w:tcPr>
          <w:p w14:paraId="624FAE03">
            <w:pPr>
              <w:wordWrap w:val="0"/>
              <w:adjustRightInd w:val="0"/>
              <w:snapToGrid w:val="0"/>
              <w:spacing w:line="240" w:lineRule="auto"/>
              <w:jc w:val="center"/>
              <w:rPr>
                <w:rFonts w:hint="eastAsia" w:ascii="仿宋_GB2312" w:hAnsi="宋体" w:eastAsia="仿宋_GB2312" w:cs="仿宋"/>
                <w:bCs/>
                <w:sz w:val="24"/>
              </w:rPr>
            </w:pPr>
          </w:p>
        </w:tc>
      </w:tr>
      <w:tr w14:paraId="75FA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466" w:type="dxa"/>
            <w:tcBorders>
              <w:tl2br w:val="nil"/>
              <w:tr2bl w:val="nil"/>
            </w:tcBorders>
            <w:vAlign w:val="center"/>
          </w:tcPr>
          <w:p w14:paraId="79C5F133">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9</w:t>
            </w:r>
          </w:p>
        </w:tc>
        <w:tc>
          <w:tcPr>
            <w:tcW w:w="1065" w:type="dxa"/>
            <w:tcBorders>
              <w:tl2br w:val="nil"/>
              <w:tr2bl w:val="nil"/>
            </w:tcBorders>
            <w:vAlign w:val="center"/>
          </w:tcPr>
          <w:p w14:paraId="208C7B48">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维护报告考核</w:t>
            </w:r>
          </w:p>
        </w:tc>
        <w:tc>
          <w:tcPr>
            <w:tcW w:w="4115" w:type="dxa"/>
            <w:gridSpan w:val="2"/>
            <w:tcBorders>
              <w:tl2br w:val="nil"/>
              <w:tr2bl w:val="nil"/>
            </w:tcBorders>
            <w:noWrap/>
            <w:vAlign w:val="center"/>
          </w:tcPr>
          <w:p w14:paraId="6263AA8F">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对考核人布置的各项工作按要求和时限完成，及时反馈，并按月度提交维护工作报告。</w:t>
            </w:r>
          </w:p>
        </w:tc>
        <w:tc>
          <w:tcPr>
            <w:tcW w:w="2446" w:type="dxa"/>
            <w:tcBorders>
              <w:tl2br w:val="nil"/>
              <w:tr2bl w:val="nil"/>
            </w:tcBorders>
            <w:noWrap/>
            <w:vAlign w:val="center"/>
          </w:tcPr>
          <w:p w14:paraId="64A775A0">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每月底前向考核人提交月度维护工作报告，未提交维护报告或报告无内容扣0.5分</w:t>
            </w:r>
          </w:p>
        </w:tc>
        <w:tc>
          <w:tcPr>
            <w:tcW w:w="448" w:type="dxa"/>
            <w:tcBorders>
              <w:tl2br w:val="nil"/>
              <w:tr2bl w:val="nil"/>
            </w:tcBorders>
            <w:vAlign w:val="center"/>
          </w:tcPr>
          <w:p w14:paraId="5C0FA6ED">
            <w:pPr>
              <w:wordWrap w:val="0"/>
              <w:adjustRightInd w:val="0"/>
              <w:snapToGrid w:val="0"/>
              <w:spacing w:line="240" w:lineRule="auto"/>
              <w:jc w:val="center"/>
              <w:rPr>
                <w:rFonts w:hint="eastAsia" w:ascii="仿宋_GB2312" w:hAnsi="宋体" w:eastAsia="仿宋_GB2312" w:cs="仿宋"/>
                <w:bCs/>
                <w:sz w:val="24"/>
              </w:rPr>
            </w:pPr>
          </w:p>
        </w:tc>
      </w:tr>
      <w:tr w14:paraId="1A03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466" w:type="dxa"/>
            <w:tcBorders>
              <w:tl2br w:val="nil"/>
              <w:tr2bl w:val="nil"/>
            </w:tcBorders>
            <w:vAlign w:val="center"/>
          </w:tcPr>
          <w:p w14:paraId="5962A993">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10</w:t>
            </w:r>
          </w:p>
        </w:tc>
        <w:tc>
          <w:tcPr>
            <w:tcW w:w="1065" w:type="dxa"/>
            <w:tcBorders>
              <w:tl2br w:val="nil"/>
              <w:tr2bl w:val="nil"/>
            </w:tcBorders>
            <w:vAlign w:val="center"/>
          </w:tcPr>
          <w:p w14:paraId="02D2596D">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二次投诉考核</w:t>
            </w:r>
          </w:p>
        </w:tc>
        <w:tc>
          <w:tcPr>
            <w:tcW w:w="4115" w:type="dxa"/>
            <w:gridSpan w:val="2"/>
            <w:tcBorders>
              <w:tl2br w:val="nil"/>
              <w:tr2bl w:val="nil"/>
            </w:tcBorders>
            <w:noWrap/>
            <w:vAlign w:val="center"/>
          </w:tcPr>
          <w:p w14:paraId="29253540">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对因中标人维护不力、故障处理不及时、路灯设备更换故障部件造成的投诉进行考核。</w:t>
            </w:r>
          </w:p>
        </w:tc>
        <w:tc>
          <w:tcPr>
            <w:tcW w:w="2446" w:type="dxa"/>
            <w:tcBorders>
              <w:tl2br w:val="nil"/>
              <w:tr2bl w:val="nil"/>
            </w:tcBorders>
            <w:noWrap/>
            <w:vAlign w:val="center"/>
          </w:tcPr>
          <w:p w14:paraId="61D97D02">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因服务单位原因造成12345二次投诉每项扣0.5分；</w:t>
            </w:r>
          </w:p>
          <w:p w14:paraId="080D99BE">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因服务单位原因引发舆情给采购人造成恶劣影响，视影响程度决定扣0.1-2分。</w:t>
            </w:r>
          </w:p>
        </w:tc>
        <w:tc>
          <w:tcPr>
            <w:tcW w:w="448" w:type="dxa"/>
            <w:tcBorders>
              <w:tl2br w:val="nil"/>
              <w:tr2bl w:val="nil"/>
            </w:tcBorders>
            <w:vAlign w:val="center"/>
          </w:tcPr>
          <w:p w14:paraId="67024DA5">
            <w:pPr>
              <w:wordWrap w:val="0"/>
              <w:adjustRightInd w:val="0"/>
              <w:snapToGrid w:val="0"/>
              <w:spacing w:line="240" w:lineRule="auto"/>
              <w:jc w:val="center"/>
              <w:rPr>
                <w:rFonts w:hint="eastAsia" w:ascii="仿宋_GB2312" w:hAnsi="宋体" w:eastAsia="仿宋_GB2312" w:cs="仿宋"/>
                <w:bCs/>
                <w:sz w:val="24"/>
              </w:rPr>
            </w:pPr>
          </w:p>
        </w:tc>
      </w:tr>
      <w:tr w14:paraId="2C78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66" w:type="dxa"/>
            <w:tcBorders>
              <w:tl2br w:val="nil"/>
              <w:tr2bl w:val="nil"/>
            </w:tcBorders>
            <w:vAlign w:val="center"/>
          </w:tcPr>
          <w:p w14:paraId="2270AFBA">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11</w:t>
            </w:r>
          </w:p>
        </w:tc>
        <w:tc>
          <w:tcPr>
            <w:tcW w:w="1065" w:type="dxa"/>
            <w:tcBorders>
              <w:tl2br w:val="nil"/>
              <w:tr2bl w:val="nil"/>
            </w:tcBorders>
            <w:vAlign w:val="center"/>
          </w:tcPr>
          <w:p w14:paraId="2BA117EA">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服务态度考核</w:t>
            </w:r>
          </w:p>
        </w:tc>
        <w:tc>
          <w:tcPr>
            <w:tcW w:w="4115" w:type="dxa"/>
            <w:gridSpan w:val="2"/>
            <w:tcBorders>
              <w:tl2br w:val="nil"/>
              <w:tr2bl w:val="nil"/>
            </w:tcBorders>
            <w:noWrap/>
            <w:vAlign w:val="center"/>
          </w:tcPr>
          <w:p w14:paraId="67EC72F6">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服务商应遵守合同规定，积极配合维修，不得无故拒绝维修，不得“小病大修”。</w:t>
            </w:r>
          </w:p>
        </w:tc>
        <w:tc>
          <w:tcPr>
            <w:tcW w:w="2446" w:type="dxa"/>
            <w:tcBorders>
              <w:tl2br w:val="nil"/>
              <w:tr2bl w:val="nil"/>
            </w:tcBorders>
            <w:noWrap/>
            <w:vAlign w:val="center"/>
          </w:tcPr>
          <w:p w14:paraId="66DEED8C">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发生一次扣除1分。</w:t>
            </w:r>
          </w:p>
        </w:tc>
        <w:tc>
          <w:tcPr>
            <w:tcW w:w="448" w:type="dxa"/>
            <w:tcBorders>
              <w:tl2br w:val="nil"/>
              <w:tr2bl w:val="nil"/>
            </w:tcBorders>
            <w:vAlign w:val="center"/>
          </w:tcPr>
          <w:p w14:paraId="0E5E73FE">
            <w:pPr>
              <w:wordWrap w:val="0"/>
              <w:adjustRightInd w:val="0"/>
              <w:snapToGrid w:val="0"/>
              <w:spacing w:line="240" w:lineRule="auto"/>
              <w:jc w:val="center"/>
              <w:rPr>
                <w:rFonts w:hint="eastAsia" w:ascii="仿宋_GB2312" w:hAnsi="宋体" w:eastAsia="仿宋_GB2312" w:cs="仿宋"/>
                <w:bCs/>
                <w:sz w:val="24"/>
              </w:rPr>
            </w:pPr>
          </w:p>
        </w:tc>
      </w:tr>
      <w:tr w14:paraId="4730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66" w:type="dxa"/>
            <w:tcBorders>
              <w:tl2br w:val="nil"/>
              <w:tr2bl w:val="nil"/>
            </w:tcBorders>
            <w:vAlign w:val="center"/>
          </w:tcPr>
          <w:p w14:paraId="73E1AE61">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12</w:t>
            </w:r>
          </w:p>
        </w:tc>
        <w:tc>
          <w:tcPr>
            <w:tcW w:w="1065" w:type="dxa"/>
            <w:tcBorders>
              <w:tl2br w:val="nil"/>
              <w:tr2bl w:val="nil"/>
            </w:tcBorders>
            <w:vAlign w:val="center"/>
          </w:tcPr>
          <w:p w14:paraId="22C89D4A">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创新工作考核</w:t>
            </w:r>
          </w:p>
        </w:tc>
        <w:tc>
          <w:tcPr>
            <w:tcW w:w="4115" w:type="dxa"/>
            <w:gridSpan w:val="2"/>
            <w:tcBorders>
              <w:tl2br w:val="nil"/>
              <w:tr2bl w:val="nil"/>
            </w:tcBorders>
            <w:noWrap/>
            <w:vAlign w:val="center"/>
          </w:tcPr>
          <w:p w14:paraId="63647759">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积极开展创新工作，其经验被考核人采纳或在全区推广。</w:t>
            </w:r>
          </w:p>
        </w:tc>
        <w:tc>
          <w:tcPr>
            <w:tcW w:w="2446" w:type="dxa"/>
            <w:tcBorders>
              <w:tl2br w:val="nil"/>
              <w:tr2bl w:val="nil"/>
            </w:tcBorders>
            <w:noWrap/>
            <w:vAlign w:val="center"/>
          </w:tcPr>
          <w:p w14:paraId="4D1C17AD">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每次加2分。</w:t>
            </w:r>
          </w:p>
        </w:tc>
        <w:tc>
          <w:tcPr>
            <w:tcW w:w="448" w:type="dxa"/>
            <w:tcBorders>
              <w:tl2br w:val="nil"/>
              <w:tr2bl w:val="nil"/>
            </w:tcBorders>
            <w:vAlign w:val="center"/>
          </w:tcPr>
          <w:p w14:paraId="7BCA54D6">
            <w:pPr>
              <w:wordWrap w:val="0"/>
              <w:adjustRightInd w:val="0"/>
              <w:snapToGrid w:val="0"/>
              <w:spacing w:line="240" w:lineRule="auto"/>
              <w:jc w:val="center"/>
              <w:rPr>
                <w:rFonts w:hint="eastAsia" w:ascii="仿宋_GB2312" w:hAnsi="宋体" w:eastAsia="仿宋_GB2312" w:cs="仿宋"/>
                <w:bCs/>
                <w:sz w:val="24"/>
              </w:rPr>
            </w:pPr>
          </w:p>
        </w:tc>
      </w:tr>
      <w:tr w14:paraId="481F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6" w:type="dxa"/>
            <w:tcBorders>
              <w:tl2br w:val="nil"/>
              <w:tr2bl w:val="nil"/>
            </w:tcBorders>
            <w:vAlign w:val="center"/>
          </w:tcPr>
          <w:p w14:paraId="58E0A426">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13</w:t>
            </w:r>
          </w:p>
        </w:tc>
        <w:tc>
          <w:tcPr>
            <w:tcW w:w="1065" w:type="dxa"/>
            <w:tcBorders>
              <w:tl2br w:val="nil"/>
              <w:tr2bl w:val="nil"/>
            </w:tcBorders>
            <w:vAlign w:val="center"/>
          </w:tcPr>
          <w:p w14:paraId="51F883F3">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应急维护保障考核</w:t>
            </w:r>
          </w:p>
        </w:tc>
        <w:tc>
          <w:tcPr>
            <w:tcW w:w="4115" w:type="dxa"/>
            <w:gridSpan w:val="2"/>
            <w:tcBorders>
              <w:tl2br w:val="nil"/>
              <w:tr2bl w:val="nil"/>
            </w:tcBorders>
            <w:noWrap/>
            <w:vAlign w:val="center"/>
          </w:tcPr>
          <w:p w14:paraId="09A5BF2D">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在应急维护保障方面做出重要贡献的，收到上级单位、媒体、考核人通报表扬。</w:t>
            </w:r>
          </w:p>
        </w:tc>
        <w:tc>
          <w:tcPr>
            <w:tcW w:w="2446" w:type="dxa"/>
            <w:tcBorders>
              <w:tl2br w:val="nil"/>
              <w:tr2bl w:val="nil"/>
            </w:tcBorders>
            <w:noWrap/>
            <w:vAlign w:val="center"/>
          </w:tcPr>
          <w:p w14:paraId="3391CE4D">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每次加1分。</w:t>
            </w:r>
          </w:p>
        </w:tc>
        <w:tc>
          <w:tcPr>
            <w:tcW w:w="448" w:type="dxa"/>
            <w:tcBorders>
              <w:tl2br w:val="nil"/>
              <w:tr2bl w:val="nil"/>
            </w:tcBorders>
            <w:vAlign w:val="center"/>
          </w:tcPr>
          <w:p w14:paraId="4C0398F1">
            <w:pPr>
              <w:wordWrap w:val="0"/>
              <w:adjustRightInd w:val="0"/>
              <w:snapToGrid w:val="0"/>
              <w:spacing w:line="240" w:lineRule="auto"/>
              <w:jc w:val="center"/>
              <w:rPr>
                <w:rFonts w:hint="eastAsia" w:ascii="仿宋_GB2312" w:hAnsi="宋体" w:eastAsia="仿宋_GB2312" w:cs="仿宋"/>
                <w:bCs/>
                <w:sz w:val="24"/>
              </w:rPr>
            </w:pPr>
          </w:p>
        </w:tc>
      </w:tr>
      <w:tr w14:paraId="4E21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6" w:type="dxa"/>
            <w:tcBorders>
              <w:tl2br w:val="nil"/>
              <w:tr2bl w:val="nil"/>
            </w:tcBorders>
            <w:vAlign w:val="center"/>
          </w:tcPr>
          <w:p w14:paraId="138CE702">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14</w:t>
            </w:r>
          </w:p>
        </w:tc>
        <w:tc>
          <w:tcPr>
            <w:tcW w:w="1065" w:type="dxa"/>
            <w:tcBorders>
              <w:tl2br w:val="nil"/>
              <w:tr2bl w:val="nil"/>
            </w:tcBorders>
            <w:vAlign w:val="center"/>
          </w:tcPr>
          <w:p w14:paraId="1367B71C">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安全防盗考核</w:t>
            </w:r>
          </w:p>
        </w:tc>
        <w:tc>
          <w:tcPr>
            <w:tcW w:w="4115" w:type="dxa"/>
            <w:gridSpan w:val="2"/>
            <w:tcBorders>
              <w:tl2br w:val="nil"/>
              <w:tr2bl w:val="nil"/>
            </w:tcBorders>
            <w:noWrap/>
            <w:vAlign w:val="center"/>
          </w:tcPr>
          <w:p w14:paraId="54F50FAA">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防盗工作优异，减少考核人损失。</w:t>
            </w:r>
          </w:p>
        </w:tc>
        <w:tc>
          <w:tcPr>
            <w:tcW w:w="2446" w:type="dxa"/>
            <w:tcBorders>
              <w:tl2br w:val="nil"/>
              <w:tr2bl w:val="nil"/>
            </w:tcBorders>
            <w:noWrap/>
            <w:vAlign w:val="center"/>
          </w:tcPr>
          <w:p w14:paraId="351A5940">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每次加1分。</w:t>
            </w:r>
          </w:p>
        </w:tc>
        <w:tc>
          <w:tcPr>
            <w:tcW w:w="448" w:type="dxa"/>
            <w:tcBorders>
              <w:tl2br w:val="nil"/>
              <w:tr2bl w:val="nil"/>
            </w:tcBorders>
            <w:vAlign w:val="center"/>
          </w:tcPr>
          <w:p w14:paraId="1B73B422">
            <w:pPr>
              <w:wordWrap w:val="0"/>
              <w:adjustRightInd w:val="0"/>
              <w:snapToGrid w:val="0"/>
              <w:spacing w:line="240" w:lineRule="auto"/>
              <w:jc w:val="center"/>
              <w:rPr>
                <w:rFonts w:hint="eastAsia" w:ascii="仿宋_GB2312" w:hAnsi="宋体" w:eastAsia="仿宋_GB2312" w:cs="仿宋"/>
                <w:bCs/>
                <w:sz w:val="24"/>
              </w:rPr>
            </w:pPr>
          </w:p>
        </w:tc>
      </w:tr>
      <w:tr w14:paraId="2339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6" w:type="dxa"/>
            <w:tcBorders>
              <w:tl2br w:val="nil"/>
              <w:tr2bl w:val="nil"/>
            </w:tcBorders>
            <w:vAlign w:val="center"/>
          </w:tcPr>
          <w:p w14:paraId="07BCE69A">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15</w:t>
            </w:r>
          </w:p>
        </w:tc>
        <w:tc>
          <w:tcPr>
            <w:tcW w:w="1065" w:type="dxa"/>
            <w:tcBorders>
              <w:tl2br w:val="nil"/>
              <w:tr2bl w:val="nil"/>
            </w:tcBorders>
            <w:vAlign w:val="center"/>
          </w:tcPr>
          <w:p w14:paraId="5579B394">
            <w:pPr>
              <w:wordWrap w:val="0"/>
              <w:adjustRightInd w:val="0"/>
              <w:snapToGrid w:val="0"/>
              <w:spacing w:line="240" w:lineRule="auto"/>
              <w:jc w:val="center"/>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现场检查考核</w:t>
            </w:r>
          </w:p>
        </w:tc>
        <w:tc>
          <w:tcPr>
            <w:tcW w:w="4115" w:type="dxa"/>
            <w:gridSpan w:val="2"/>
            <w:tcBorders>
              <w:tl2br w:val="nil"/>
              <w:tr2bl w:val="nil"/>
            </w:tcBorders>
            <w:noWrap/>
            <w:vAlign w:val="center"/>
          </w:tcPr>
          <w:p w14:paraId="235512AB">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上级部门检查中表现突出。</w:t>
            </w:r>
          </w:p>
        </w:tc>
        <w:tc>
          <w:tcPr>
            <w:tcW w:w="2446" w:type="dxa"/>
            <w:tcBorders>
              <w:tl2br w:val="nil"/>
              <w:tr2bl w:val="nil"/>
            </w:tcBorders>
            <w:noWrap/>
            <w:vAlign w:val="center"/>
          </w:tcPr>
          <w:p w14:paraId="2F707CE4">
            <w:pPr>
              <w:wordWrap w:val="0"/>
              <w:adjustRightInd w:val="0"/>
              <w:snapToGrid w:val="0"/>
              <w:spacing w:line="240" w:lineRule="auto"/>
              <w:jc w:val="left"/>
              <w:textAlignment w:val="center"/>
              <w:rPr>
                <w:rFonts w:hint="eastAsia" w:ascii="仿宋_GB2312" w:hAnsi="宋体" w:eastAsia="仿宋_GB2312" w:cs="仿宋"/>
                <w:bCs/>
                <w:kern w:val="0"/>
                <w:sz w:val="24"/>
              </w:rPr>
            </w:pPr>
            <w:r>
              <w:rPr>
                <w:rFonts w:hint="eastAsia" w:ascii="仿宋_GB2312" w:hAnsi="宋体" w:eastAsia="仿宋_GB2312" w:cs="仿宋"/>
                <w:bCs/>
                <w:kern w:val="0"/>
                <w:sz w:val="24"/>
              </w:rPr>
              <w:t>每次加1分。</w:t>
            </w:r>
          </w:p>
        </w:tc>
        <w:tc>
          <w:tcPr>
            <w:tcW w:w="448" w:type="dxa"/>
            <w:tcBorders>
              <w:tl2br w:val="nil"/>
              <w:tr2bl w:val="nil"/>
            </w:tcBorders>
            <w:vAlign w:val="center"/>
          </w:tcPr>
          <w:p w14:paraId="60B6C6EC">
            <w:pPr>
              <w:wordWrap w:val="0"/>
              <w:adjustRightInd w:val="0"/>
              <w:snapToGrid w:val="0"/>
              <w:spacing w:line="240" w:lineRule="auto"/>
              <w:jc w:val="center"/>
              <w:rPr>
                <w:rFonts w:hint="eastAsia" w:ascii="仿宋_GB2312" w:hAnsi="宋体" w:eastAsia="仿宋_GB2312" w:cs="仿宋"/>
                <w:bCs/>
                <w:sz w:val="24"/>
              </w:rPr>
            </w:pPr>
          </w:p>
        </w:tc>
      </w:tr>
      <w:tr w14:paraId="09F5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646" w:type="dxa"/>
            <w:gridSpan w:val="4"/>
            <w:tcBorders>
              <w:tl2br w:val="nil"/>
              <w:tr2bl w:val="nil"/>
            </w:tcBorders>
            <w:vAlign w:val="center"/>
          </w:tcPr>
          <w:p w14:paraId="16DF31AF">
            <w:pPr>
              <w:wordWrap w:val="0"/>
              <w:adjustRightInd w:val="0"/>
              <w:snapToGrid w:val="0"/>
              <w:spacing w:line="240" w:lineRule="auto"/>
              <w:jc w:val="center"/>
              <w:textAlignment w:val="center"/>
              <w:rPr>
                <w:rFonts w:hint="eastAsia" w:ascii="仿宋_GB2312" w:hAnsi="宋体" w:eastAsia="仿宋_GB2312" w:cs="仿宋"/>
                <w:bCs/>
                <w:sz w:val="24"/>
              </w:rPr>
            </w:pPr>
            <w:r>
              <w:rPr>
                <w:rFonts w:hint="eastAsia" w:ascii="仿宋_GB2312" w:hAnsi="宋体" w:eastAsia="仿宋_GB2312" w:cs="仿宋"/>
                <w:bCs/>
                <w:kern w:val="0"/>
                <w:sz w:val="24"/>
              </w:rPr>
              <w:t>总得分</w:t>
            </w:r>
          </w:p>
        </w:tc>
        <w:tc>
          <w:tcPr>
            <w:tcW w:w="2446" w:type="dxa"/>
            <w:tcBorders>
              <w:tl2br w:val="nil"/>
              <w:tr2bl w:val="nil"/>
            </w:tcBorders>
            <w:vAlign w:val="center"/>
          </w:tcPr>
          <w:p w14:paraId="0090A46B">
            <w:pPr>
              <w:wordWrap w:val="0"/>
              <w:adjustRightInd w:val="0"/>
              <w:snapToGrid w:val="0"/>
              <w:spacing w:line="240" w:lineRule="auto"/>
              <w:jc w:val="center"/>
              <w:rPr>
                <w:rFonts w:hint="eastAsia" w:ascii="仿宋_GB2312" w:hAnsi="宋体" w:eastAsia="仿宋_GB2312" w:cs="仿宋"/>
                <w:bCs/>
                <w:sz w:val="24"/>
              </w:rPr>
            </w:pPr>
          </w:p>
        </w:tc>
        <w:tc>
          <w:tcPr>
            <w:tcW w:w="448" w:type="dxa"/>
            <w:tcBorders>
              <w:tl2br w:val="nil"/>
              <w:tr2bl w:val="nil"/>
            </w:tcBorders>
            <w:vAlign w:val="center"/>
          </w:tcPr>
          <w:p w14:paraId="3A524098">
            <w:pPr>
              <w:wordWrap w:val="0"/>
              <w:adjustRightInd w:val="0"/>
              <w:snapToGrid w:val="0"/>
              <w:spacing w:line="240" w:lineRule="auto"/>
              <w:jc w:val="center"/>
              <w:rPr>
                <w:rFonts w:hint="eastAsia" w:ascii="仿宋_GB2312" w:hAnsi="宋体" w:eastAsia="仿宋_GB2312" w:cs="仿宋"/>
                <w:bCs/>
                <w:sz w:val="24"/>
              </w:rPr>
            </w:pPr>
          </w:p>
        </w:tc>
      </w:tr>
      <w:tr w14:paraId="5513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40" w:type="dxa"/>
            <w:gridSpan w:val="6"/>
            <w:tcBorders>
              <w:tl2br w:val="nil"/>
              <w:tr2bl w:val="nil"/>
            </w:tcBorders>
            <w:vAlign w:val="center"/>
          </w:tcPr>
          <w:p w14:paraId="57A78073">
            <w:pPr>
              <w:wordWrap w:val="0"/>
              <w:adjustRightInd w:val="0"/>
              <w:snapToGrid w:val="0"/>
              <w:spacing w:line="240" w:lineRule="auto"/>
              <w:jc w:val="left"/>
              <w:textAlignment w:val="center"/>
              <w:rPr>
                <w:rFonts w:hint="eastAsia" w:ascii="仿宋_GB2312" w:hAnsi="宋体" w:eastAsia="仿宋_GB2312" w:cs="仿宋"/>
                <w:bCs/>
                <w:sz w:val="24"/>
              </w:rPr>
            </w:pPr>
            <w:r>
              <w:rPr>
                <w:rFonts w:hint="eastAsia" w:ascii="仿宋_GB2312" w:hAnsi="宋体" w:eastAsia="仿宋_GB2312" w:cs="仿宋"/>
                <w:bCs/>
                <w:kern w:val="0"/>
                <w:sz w:val="24"/>
              </w:rPr>
              <w:t>月度考核计分方式：</w:t>
            </w:r>
          </w:p>
        </w:tc>
      </w:tr>
      <w:tr w14:paraId="31C1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8540" w:type="dxa"/>
            <w:gridSpan w:val="6"/>
            <w:tcBorders>
              <w:tl2br w:val="nil"/>
              <w:tr2bl w:val="nil"/>
            </w:tcBorders>
            <w:vAlign w:val="center"/>
          </w:tcPr>
          <w:tbl>
            <w:tblPr>
              <w:tblStyle w:val="31"/>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2"/>
              <w:gridCol w:w="1928"/>
              <w:gridCol w:w="1103"/>
              <w:gridCol w:w="3841"/>
              <w:gridCol w:w="736"/>
            </w:tblGrid>
            <w:tr w14:paraId="659B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0E52BF18">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序号</w:t>
                  </w:r>
                </w:p>
              </w:tc>
              <w:tc>
                <w:tcPr>
                  <w:tcW w:w="1928" w:type="dxa"/>
                  <w:vAlign w:val="center"/>
                </w:tcPr>
                <w:p w14:paraId="706B7570">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分值划分</w:t>
                  </w:r>
                </w:p>
              </w:tc>
              <w:tc>
                <w:tcPr>
                  <w:tcW w:w="1103" w:type="dxa"/>
                  <w:vAlign w:val="center"/>
                </w:tcPr>
                <w:p w14:paraId="44B82AB0">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评定结果</w:t>
                  </w:r>
                </w:p>
              </w:tc>
              <w:tc>
                <w:tcPr>
                  <w:tcW w:w="3841" w:type="dxa"/>
                  <w:vAlign w:val="center"/>
                </w:tcPr>
                <w:p w14:paraId="6AAAC321">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结果应用</w:t>
                  </w:r>
                </w:p>
              </w:tc>
              <w:tc>
                <w:tcPr>
                  <w:tcW w:w="736" w:type="dxa"/>
                  <w:vAlign w:val="center"/>
                </w:tcPr>
                <w:p w14:paraId="27294244">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b/>
                      <w:bCs/>
                      <w:sz w:val="24"/>
                      <w:lang w:eastAsia="en-US"/>
                    </w:rPr>
                    <w:t>备注</w:t>
                  </w:r>
                </w:p>
              </w:tc>
            </w:tr>
            <w:tr w14:paraId="3EF6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62" w:type="dxa"/>
                  <w:vAlign w:val="center"/>
                </w:tcPr>
                <w:p w14:paraId="163319E5">
                  <w:pPr>
                    <w:pStyle w:val="46"/>
                    <w:numPr>
                      <w:ilvl w:val="0"/>
                      <w:numId w:val="15"/>
                    </w:numPr>
                    <w:autoSpaceDE w:val="0"/>
                    <w:autoSpaceDN w:val="0"/>
                    <w:spacing w:line="240" w:lineRule="auto"/>
                    <w:ind w:left="0" w:firstLine="0" w:firstLineChars="0"/>
                    <w:jc w:val="center"/>
                    <w:rPr>
                      <w:rFonts w:hint="eastAsia" w:ascii="仿宋_GB2312" w:hAnsi="宋体" w:eastAsia="仿宋_GB2312" w:cs="宋体"/>
                      <w:b/>
                      <w:bCs/>
                      <w:sz w:val="24"/>
                      <w:lang w:eastAsia="en-US"/>
                    </w:rPr>
                  </w:pPr>
                </w:p>
              </w:tc>
              <w:tc>
                <w:tcPr>
                  <w:tcW w:w="1928" w:type="dxa"/>
                  <w:vAlign w:val="center"/>
                </w:tcPr>
                <w:p w14:paraId="0DB860C1">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≥90</w:t>
                  </w:r>
                  <w:r>
                    <w:rPr>
                      <w:rFonts w:hint="eastAsia" w:ascii="仿宋_GB2312" w:hAnsi="宋体" w:eastAsia="仿宋_GB2312" w:cs="宋体"/>
                      <w:sz w:val="24"/>
                      <w:lang w:eastAsia="en-US"/>
                    </w:rPr>
                    <w:t>分</w:t>
                  </w:r>
                </w:p>
              </w:tc>
              <w:tc>
                <w:tcPr>
                  <w:tcW w:w="1103" w:type="dxa"/>
                  <w:vAlign w:val="center"/>
                </w:tcPr>
                <w:p w14:paraId="6DDFAAC0">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rPr>
                    <w:t>优秀</w:t>
                  </w:r>
                </w:p>
              </w:tc>
              <w:tc>
                <w:tcPr>
                  <w:tcW w:w="3841" w:type="dxa"/>
                </w:tcPr>
                <w:p w14:paraId="4B3B1F43">
                  <w:pPr>
                    <w:autoSpaceDE w:val="0"/>
                    <w:autoSpaceDN w:val="0"/>
                    <w:spacing w:line="240" w:lineRule="auto"/>
                    <w:jc w:val="center"/>
                    <w:rPr>
                      <w:rFonts w:hint="eastAsia" w:ascii="仿宋_GB2312" w:hAnsi="宋体" w:eastAsia="仿宋_GB2312" w:cs="宋体"/>
                      <w:b/>
                      <w:bCs/>
                      <w:sz w:val="24"/>
                      <w:lang w:eastAsia="en-US"/>
                    </w:rPr>
                  </w:pPr>
                  <w:r>
                    <w:rPr>
                      <w:rFonts w:hint="eastAsia" w:ascii="仿宋_GB2312" w:hAnsi="宋体" w:eastAsia="仿宋_GB2312" w:cs="宋体"/>
                      <w:sz w:val="24"/>
                      <w:lang w:eastAsia="en-US"/>
                    </w:rPr>
                    <w:t>全额拨付费用</w:t>
                  </w:r>
                </w:p>
              </w:tc>
              <w:tc>
                <w:tcPr>
                  <w:tcW w:w="736" w:type="dxa"/>
                  <w:vAlign w:val="center"/>
                </w:tcPr>
                <w:p w14:paraId="0FD95ACA">
                  <w:pPr>
                    <w:autoSpaceDE w:val="0"/>
                    <w:autoSpaceDN w:val="0"/>
                    <w:spacing w:line="240" w:lineRule="auto"/>
                    <w:jc w:val="center"/>
                    <w:rPr>
                      <w:rFonts w:hint="eastAsia" w:ascii="仿宋_GB2312" w:hAnsi="宋体" w:eastAsia="仿宋_GB2312" w:cs="宋体"/>
                      <w:b/>
                      <w:bCs/>
                      <w:sz w:val="24"/>
                      <w:lang w:eastAsia="en-US"/>
                    </w:rPr>
                  </w:pPr>
                </w:p>
              </w:tc>
            </w:tr>
            <w:tr w14:paraId="2DC2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2" w:type="dxa"/>
                  <w:vAlign w:val="center"/>
                </w:tcPr>
                <w:p w14:paraId="320CFC8C">
                  <w:pPr>
                    <w:pStyle w:val="46"/>
                    <w:numPr>
                      <w:ilvl w:val="0"/>
                      <w:numId w:val="15"/>
                    </w:numPr>
                    <w:autoSpaceDE w:val="0"/>
                    <w:autoSpaceDN w:val="0"/>
                    <w:spacing w:line="240" w:lineRule="auto"/>
                    <w:ind w:left="0" w:firstLine="0" w:firstLineChars="0"/>
                    <w:jc w:val="center"/>
                    <w:rPr>
                      <w:rFonts w:hint="eastAsia" w:ascii="仿宋_GB2312" w:hAnsi="宋体" w:eastAsia="仿宋_GB2312" w:cs="宋体"/>
                      <w:sz w:val="24"/>
                      <w:lang w:eastAsia="en-US"/>
                    </w:rPr>
                  </w:pPr>
                </w:p>
              </w:tc>
              <w:tc>
                <w:tcPr>
                  <w:tcW w:w="1928" w:type="dxa"/>
                  <w:vAlign w:val="center"/>
                </w:tcPr>
                <w:p w14:paraId="416D46D3">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lang w:eastAsia="en-US"/>
                    </w:rPr>
                    <w:t>8</w:t>
                  </w:r>
                  <w:r>
                    <w:rPr>
                      <w:rFonts w:hint="eastAsia" w:ascii="仿宋_GB2312" w:hAnsi="宋体" w:eastAsia="仿宋_GB2312" w:cs="宋体"/>
                      <w:sz w:val="24"/>
                    </w:rPr>
                    <w:t>9</w:t>
                  </w:r>
                  <w:r>
                    <w:rPr>
                      <w:rFonts w:hint="eastAsia" w:ascii="仿宋_GB2312" w:hAnsi="宋体" w:eastAsia="仿宋_GB2312" w:cs="宋体"/>
                      <w:sz w:val="24"/>
                      <w:lang w:eastAsia="en-US"/>
                    </w:rPr>
                    <w:t>~</w:t>
                  </w:r>
                  <w:r>
                    <w:rPr>
                      <w:rFonts w:hint="eastAsia" w:ascii="仿宋_GB2312" w:hAnsi="宋体" w:eastAsia="仿宋_GB2312" w:cs="宋体"/>
                      <w:sz w:val="24"/>
                    </w:rPr>
                    <w:t>80</w:t>
                  </w:r>
                  <w:r>
                    <w:rPr>
                      <w:rFonts w:hint="eastAsia" w:ascii="仿宋_GB2312" w:hAnsi="宋体" w:eastAsia="仿宋_GB2312" w:cs="宋体"/>
                      <w:sz w:val="24"/>
                      <w:lang w:eastAsia="en-US"/>
                    </w:rPr>
                    <w:t>(含</w:t>
                  </w:r>
                  <w:r>
                    <w:rPr>
                      <w:rFonts w:hint="eastAsia" w:ascii="仿宋_GB2312" w:hAnsi="宋体" w:eastAsia="仿宋_GB2312" w:cs="宋体"/>
                      <w:sz w:val="24"/>
                    </w:rPr>
                    <w:t>80</w:t>
                  </w:r>
                  <w:r>
                    <w:rPr>
                      <w:rFonts w:hint="eastAsia" w:ascii="仿宋_GB2312" w:hAnsi="宋体" w:eastAsia="仿宋_GB2312" w:cs="宋体"/>
                      <w:sz w:val="24"/>
                      <w:lang w:eastAsia="en-US"/>
                    </w:rPr>
                    <w:t>)</w:t>
                  </w:r>
                </w:p>
              </w:tc>
              <w:tc>
                <w:tcPr>
                  <w:tcW w:w="1103" w:type="dxa"/>
                  <w:vAlign w:val="center"/>
                </w:tcPr>
                <w:p w14:paraId="21A5E11A">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合格</w:t>
                  </w:r>
                </w:p>
              </w:tc>
              <w:tc>
                <w:tcPr>
                  <w:tcW w:w="3841" w:type="dxa"/>
                </w:tcPr>
                <w:p w14:paraId="2D67C264">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每扣1分扣除费用1000元计算</w:t>
                  </w:r>
                </w:p>
              </w:tc>
              <w:tc>
                <w:tcPr>
                  <w:tcW w:w="736" w:type="dxa"/>
                  <w:vMerge w:val="restart"/>
                </w:tcPr>
                <w:p w14:paraId="68CE1F0D">
                  <w:pPr>
                    <w:pStyle w:val="69"/>
                    <w:ind w:left="480" w:hanging="480"/>
                    <w:rPr>
                      <w:rFonts w:ascii="仿宋_GB2312" w:eastAsia="仿宋_GB2312"/>
                      <w:sz w:val="24"/>
                      <w:szCs w:val="24"/>
                      <w:lang w:eastAsia="zh-CN"/>
                    </w:rPr>
                  </w:pPr>
                </w:p>
              </w:tc>
            </w:tr>
            <w:tr w14:paraId="262C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6CC5B776">
                  <w:pPr>
                    <w:pStyle w:val="46"/>
                    <w:numPr>
                      <w:ilvl w:val="0"/>
                      <w:numId w:val="15"/>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1048759F">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79</w:t>
                  </w:r>
                  <w:r>
                    <w:rPr>
                      <w:rFonts w:hint="eastAsia" w:ascii="仿宋_GB2312" w:hAnsi="宋体" w:eastAsia="仿宋_GB2312" w:cs="宋体"/>
                      <w:sz w:val="24"/>
                      <w:lang w:eastAsia="en-US"/>
                    </w:rPr>
                    <w:t>~7</w:t>
                  </w:r>
                  <w:r>
                    <w:rPr>
                      <w:rFonts w:hint="eastAsia" w:ascii="仿宋_GB2312" w:hAnsi="宋体" w:eastAsia="仿宋_GB2312" w:cs="宋体"/>
                      <w:sz w:val="24"/>
                    </w:rPr>
                    <w:t>0</w:t>
                  </w:r>
                  <w:r>
                    <w:rPr>
                      <w:rFonts w:hint="eastAsia" w:ascii="仿宋_GB2312" w:hAnsi="宋体" w:eastAsia="仿宋_GB2312" w:cs="宋体"/>
                      <w:sz w:val="24"/>
                      <w:lang w:eastAsia="en-US"/>
                    </w:rPr>
                    <w:t>(含</w:t>
                  </w:r>
                  <w:r>
                    <w:rPr>
                      <w:rFonts w:hint="eastAsia" w:ascii="仿宋_GB2312" w:hAnsi="宋体" w:eastAsia="仿宋_GB2312" w:cs="宋体"/>
                      <w:sz w:val="24"/>
                    </w:rPr>
                    <w:t>70</w:t>
                  </w:r>
                  <w:r>
                    <w:rPr>
                      <w:rFonts w:hint="eastAsia" w:ascii="仿宋_GB2312" w:hAnsi="宋体" w:eastAsia="仿宋_GB2312" w:cs="宋体"/>
                      <w:sz w:val="24"/>
                      <w:lang w:eastAsia="en-US"/>
                    </w:rPr>
                    <w:t>)</w:t>
                  </w:r>
                </w:p>
              </w:tc>
              <w:tc>
                <w:tcPr>
                  <w:tcW w:w="1103" w:type="dxa"/>
                  <w:vAlign w:val="center"/>
                </w:tcPr>
                <w:p w14:paraId="53082E76">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基本合格</w:t>
                  </w:r>
                </w:p>
              </w:tc>
              <w:tc>
                <w:tcPr>
                  <w:tcW w:w="3841" w:type="dxa"/>
                </w:tcPr>
                <w:p w14:paraId="6FCA2271">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每扣1分扣除费用2000元计算</w:t>
                  </w:r>
                </w:p>
              </w:tc>
              <w:tc>
                <w:tcPr>
                  <w:tcW w:w="736" w:type="dxa"/>
                  <w:vMerge w:val="continue"/>
                </w:tcPr>
                <w:p w14:paraId="1B19051B">
                  <w:pPr>
                    <w:pStyle w:val="69"/>
                    <w:ind w:left="480" w:hanging="480"/>
                    <w:rPr>
                      <w:rFonts w:ascii="仿宋_GB2312" w:eastAsia="仿宋_GB2312"/>
                      <w:sz w:val="24"/>
                      <w:szCs w:val="24"/>
                      <w:lang w:eastAsia="zh-CN"/>
                    </w:rPr>
                  </w:pPr>
                </w:p>
              </w:tc>
            </w:tr>
            <w:tr w14:paraId="296D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762" w:type="dxa"/>
                  <w:vAlign w:val="center"/>
                </w:tcPr>
                <w:p w14:paraId="499DEC24">
                  <w:pPr>
                    <w:pStyle w:val="46"/>
                    <w:numPr>
                      <w:ilvl w:val="0"/>
                      <w:numId w:val="15"/>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5BF1360B">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69</w:t>
                  </w:r>
                  <w:r>
                    <w:rPr>
                      <w:rFonts w:hint="eastAsia" w:ascii="仿宋_GB2312" w:hAnsi="宋体" w:eastAsia="仿宋_GB2312" w:cs="宋体"/>
                      <w:sz w:val="24"/>
                      <w:lang w:eastAsia="en-US"/>
                    </w:rPr>
                    <w:t>-</w:t>
                  </w:r>
                  <w:r>
                    <w:rPr>
                      <w:rFonts w:hint="eastAsia" w:ascii="仿宋_GB2312" w:hAnsi="宋体" w:eastAsia="仿宋_GB2312" w:cs="宋体"/>
                      <w:sz w:val="24"/>
                    </w:rPr>
                    <w:t>60</w:t>
                  </w:r>
                  <w:r>
                    <w:rPr>
                      <w:rFonts w:hint="eastAsia" w:ascii="仿宋_GB2312" w:hAnsi="宋体" w:eastAsia="仿宋_GB2312" w:cs="宋体"/>
                      <w:sz w:val="24"/>
                      <w:lang w:eastAsia="en-US"/>
                    </w:rPr>
                    <w:t>(含</w:t>
                  </w:r>
                  <w:r>
                    <w:rPr>
                      <w:rFonts w:hint="eastAsia" w:ascii="仿宋_GB2312" w:hAnsi="宋体" w:eastAsia="仿宋_GB2312" w:cs="宋体"/>
                      <w:sz w:val="24"/>
                    </w:rPr>
                    <w:t>6</w:t>
                  </w:r>
                  <w:r>
                    <w:rPr>
                      <w:rFonts w:hint="eastAsia" w:ascii="仿宋_GB2312" w:hAnsi="宋体" w:eastAsia="仿宋_GB2312" w:cs="宋体"/>
                      <w:sz w:val="24"/>
                      <w:lang w:eastAsia="en-US"/>
                    </w:rPr>
                    <w:t>0)</w:t>
                  </w:r>
                </w:p>
              </w:tc>
              <w:tc>
                <w:tcPr>
                  <w:tcW w:w="1103" w:type="dxa"/>
                  <w:vAlign w:val="center"/>
                </w:tcPr>
                <w:p w14:paraId="7651862D">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不合格</w:t>
                  </w:r>
                </w:p>
              </w:tc>
              <w:tc>
                <w:tcPr>
                  <w:tcW w:w="3841" w:type="dxa"/>
                </w:tcPr>
                <w:p w14:paraId="19895517">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每扣1分扣除费用5000元计算</w:t>
                  </w:r>
                </w:p>
              </w:tc>
              <w:tc>
                <w:tcPr>
                  <w:tcW w:w="736" w:type="dxa"/>
                  <w:vMerge w:val="continue"/>
                </w:tcPr>
                <w:p w14:paraId="10631E69">
                  <w:pPr>
                    <w:pStyle w:val="69"/>
                    <w:ind w:left="480" w:hanging="480"/>
                    <w:rPr>
                      <w:rFonts w:ascii="仿宋_GB2312" w:eastAsia="仿宋_GB2312"/>
                      <w:sz w:val="24"/>
                      <w:szCs w:val="24"/>
                      <w:lang w:eastAsia="zh-CN"/>
                    </w:rPr>
                  </w:pPr>
                </w:p>
              </w:tc>
            </w:tr>
            <w:tr w14:paraId="387A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jc w:val="center"/>
              </w:trPr>
              <w:tc>
                <w:tcPr>
                  <w:tcW w:w="762" w:type="dxa"/>
                  <w:vAlign w:val="center"/>
                </w:tcPr>
                <w:p w14:paraId="335EED1F">
                  <w:pPr>
                    <w:pStyle w:val="46"/>
                    <w:numPr>
                      <w:ilvl w:val="0"/>
                      <w:numId w:val="15"/>
                    </w:numPr>
                    <w:autoSpaceDE w:val="0"/>
                    <w:autoSpaceDN w:val="0"/>
                    <w:spacing w:line="240" w:lineRule="auto"/>
                    <w:ind w:left="0" w:firstLine="0" w:firstLineChars="0"/>
                    <w:jc w:val="center"/>
                    <w:rPr>
                      <w:rFonts w:hint="eastAsia" w:ascii="仿宋_GB2312" w:hAnsi="宋体" w:eastAsia="仿宋_GB2312" w:cs="宋体"/>
                      <w:sz w:val="24"/>
                    </w:rPr>
                  </w:pPr>
                </w:p>
              </w:tc>
              <w:tc>
                <w:tcPr>
                  <w:tcW w:w="1928" w:type="dxa"/>
                  <w:vAlign w:val="center"/>
                </w:tcPr>
                <w:p w14:paraId="4587C5C8">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6</w:t>
                  </w:r>
                  <w:r>
                    <w:rPr>
                      <w:rFonts w:hint="eastAsia" w:ascii="仿宋_GB2312" w:hAnsi="宋体" w:eastAsia="仿宋_GB2312" w:cs="宋体"/>
                      <w:sz w:val="24"/>
                      <w:lang w:eastAsia="en-US"/>
                    </w:rPr>
                    <w:t>0以下</w:t>
                  </w:r>
                </w:p>
              </w:tc>
              <w:tc>
                <w:tcPr>
                  <w:tcW w:w="1103" w:type="dxa"/>
                  <w:vAlign w:val="center"/>
                </w:tcPr>
                <w:p w14:paraId="1F7C06C4">
                  <w:pPr>
                    <w:autoSpaceDE w:val="0"/>
                    <w:autoSpaceDN w:val="0"/>
                    <w:spacing w:line="240" w:lineRule="auto"/>
                    <w:jc w:val="center"/>
                    <w:rPr>
                      <w:rFonts w:hint="eastAsia" w:ascii="仿宋_GB2312" w:hAnsi="宋体" w:eastAsia="仿宋_GB2312" w:cs="宋体"/>
                      <w:sz w:val="24"/>
                      <w:lang w:eastAsia="en-US"/>
                    </w:rPr>
                  </w:pPr>
                  <w:r>
                    <w:rPr>
                      <w:rFonts w:hint="eastAsia" w:ascii="仿宋_GB2312" w:hAnsi="宋体" w:eastAsia="仿宋_GB2312" w:cs="宋体"/>
                      <w:sz w:val="24"/>
                    </w:rPr>
                    <w:t>差</w:t>
                  </w:r>
                </w:p>
              </w:tc>
              <w:tc>
                <w:tcPr>
                  <w:tcW w:w="3841" w:type="dxa"/>
                </w:tcPr>
                <w:p w14:paraId="66380533">
                  <w:pPr>
                    <w:autoSpaceDE w:val="0"/>
                    <w:autoSpaceDN w:val="0"/>
                    <w:spacing w:line="240" w:lineRule="auto"/>
                    <w:rPr>
                      <w:rFonts w:hint="eastAsia" w:ascii="仿宋_GB2312" w:hAnsi="宋体" w:eastAsia="仿宋_GB2312" w:cs="宋体"/>
                      <w:sz w:val="24"/>
                    </w:rPr>
                  </w:pPr>
                  <w:r>
                    <w:rPr>
                      <w:rFonts w:hint="eastAsia" w:ascii="仿宋_GB2312" w:hAnsi="宋体" w:eastAsia="仿宋_GB2312" w:cs="宋体"/>
                      <w:sz w:val="24"/>
                    </w:rPr>
                    <w:t>给予运营企业</w:t>
                  </w:r>
                  <w:r>
                    <w:rPr>
                      <w:rFonts w:hint="eastAsia" w:ascii="仿宋_GB2312" w:hAnsi="宋体" w:eastAsia="仿宋_GB2312" w:cs="宋体"/>
                      <w:sz w:val="24"/>
                      <w:lang w:eastAsia="zh-CN"/>
                    </w:rPr>
                    <w:t>书面限期整改通知</w:t>
                  </w:r>
                  <w:r>
                    <w:rPr>
                      <w:rFonts w:hint="eastAsia" w:ascii="仿宋_GB2312" w:hAnsi="宋体" w:eastAsia="仿宋_GB2312" w:cs="宋体"/>
                      <w:sz w:val="24"/>
                    </w:rPr>
                    <w:t>，督促乙方于15日内进行整改，如到期后仍未合格，甲方可不予拨付服务费，并扣除当期服务费及履约保证金，且</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c>
                <w:tcPr>
                  <w:tcW w:w="736" w:type="dxa"/>
                </w:tcPr>
                <w:p w14:paraId="05A0CDA7">
                  <w:pPr>
                    <w:pStyle w:val="69"/>
                    <w:ind w:left="480" w:hanging="480"/>
                    <w:rPr>
                      <w:rFonts w:ascii="仿宋_GB2312" w:eastAsia="仿宋_GB2312"/>
                      <w:sz w:val="24"/>
                      <w:szCs w:val="24"/>
                      <w:lang w:eastAsia="zh-CN"/>
                    </w:rPr>
                  </w:pPr>
                </w:p>
              </w:tc>
            </w:tr>
            <w:tr w14:paraId="6C22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762" w:type="dxa"/>
                  <w:vAlign w:val="center"/>
                </w:tcPr>
                <w:p w14:paraId="17EDBF72">
                  <w:pPr>
                    <w:pStyle w:val="46"/>
                    <w:numPr>
                      <w:ilvl w:val="0"/>
                      <w:numId w:val="15"/>
                    </w:numPr>
                    <w:spacing w:line="240" w:lineRule="auto"/>
                    <w:ind w:left="0" w:firstLine="0" w:firstLineChars="0"/>
                    <w:jc w:val="center"/>
                    <w:rPr>
                      <w:rFonts w:ascii="仿宋_GB2312" w:eastAsia="仿宋_GB2312"/>
                      <w:sz w:val="24"/>
                    </w:rPr>
                  </w:pPr>
                </w:p>
              </w:tc>
              <w:tc>
                <w:tcPr>
                  <w:tcW w:w="7608" w:type="dxa"/>
                  <w:gridSpan w:val="4"/>
                  <w:vAlign w:val="center"/>
                </w:tcPr>
                <w:p w14:paraId="09EE4970">
                  <w:pPr>
                    <w:spacing w:line="240" w:lineRule="auto"/>
                    <w:rPr>
                      <w:rFonts w:ascii="仿宋_GB2312" w:eastAsia="仿宋_GB2312"/>
                      <w:sz w:val="24"/>
                    </w:rPr>
                  </w:pPr>
                  <w:r>
                    <w:rPr>
                      <w:rFonts w:hint="eastAsia" w:ascii="仿宋_GB2312" w:hAnsi="宋体" w:eastAsia="仿宋_GB2312" w:cs="宋体"/>
                      <w:sz w:val="24"/>
                    </w:rPr>
                    <w:t>当乙方连续3个月考评得分低于69分(不含)时，</w:t>
                  </w:r>
                  <w:r>
                    <w:rPr>
                      <w:rFonts w:hint="eastAsia" w:ascii="仿宋_GB2312" w:hAnsi="宋体" w:eastAsia="仿宋_GB2312" w:cs="宋体"/>
                      <w:sz w:val="24"/>
                      <w:lang w:eastAsia="zh-CN"/>
                    </w:rPr>
                    <w:t>甲方有权依据合同约定单方解除合同</w:t>
                  </w:r>
                  <w:r>
                    <w:rPr>
                      <w:rFonts w:hint="eastAsia" w:ascii="仿宋_GB2312" w:hAnsi="宋体" w:eastAsia="仿宋_GB2312" w:cs="宋体"/>
                      <w:sz w:val="24"/>
                    </w:rPr>
                    <w:t>。</w:t>
                  </w:r>
                </w:p>
              </w:tc>
            </w:tr>
          </w:tbl>
          <w:p w14:paraId="62753BD9">
            <w:pPr>
              <w:wordWrap w:val="0"/>
              <w:adjustRightInd w:val="0"/>
              <w:snapToGrid w:val="0"/>
              <w:spacing w:line="240" w:lineRule="auto"/>
              <w:jc w:val="left"/>
              <w:textAlignment w:val="center"/>
              <w:rPr>
                <w:rFonts w:hint="eastAsia" w:ascii="仿宋_GB2312" w:hAnsi="宋体" w:eastAsia="仿宋_GB2312" w:cs="仿宋"/>
                <w:bCs/>
                <w:sz w:val="24"/>
              </w:rPr>
            </w:pPr>
          </w:p>
        </w:tc>
      </w:tr>
    </w:tbl>
    <w:p w14:paraId="02B245D1">
      <w:pPr>
        <w:wordWrap w:val="0"/>
        <w:adjustRightInd w:val="0"/>
        <w:snapToGrid w:val="0"/>
        <w:jc w:val="center"/>
        <w:rPr>
          <w:rFonts w:hint="eastAsia" w:ascii="宋体" w:hAnsi="宋体" w:eastAsia="宋体" w:cs="仿宋"/>
          <w:b/>
          <w:kern w:val="0"/>
          <w:sz w:val="24"/>
        </w:rPr>
      </w:pPr>
    </w:p>
    <w:sectPr>
      <w:pgSz w:w="11906" w:h="16838"/>
      <w:pgMar w:top="1440" w:right="1797" w:bottom="1440" w:left="1797" w:header="851" w:footer="992"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2E4CE">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44F31">
    <w:pPr>
      <w:pStyle w:val="21"/>
      <w:jc w:val="center"/>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4889A">
    <w:pPr>
      <w:pStyle w:val="21"/>
      <w:jc w:val="center"/>
    </w:pPr>
    <w:r>
      <w:fldChar w:fldCharType="begin"/>
    </w:r>
    <w:r>
      <w:instrText xml:space="preserve">PAGE   \* MERGEFORMAT</w:instrText>
    </w:r>
    <w:r>
      <w:fldChar w:fldCharType="separate"/>
    </w:r>
    <w:r>
      <w:rPr>
        <w:lang w:val="zh-CN"/>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685D">
    <w:pPr>
      <w:pStyle w:val="21"/>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44EEE">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775C9">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6DD38">
    <w:pPr>
      <w:pStyle w:val="22"/>
      <w:pBdr>
        <w:bottom w:val="none" w:color="auto" w:sz="0" w:space="0"/>
      </w:pBdr>
      <w:ind w:firstLine="64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3F2E2"/>
    <w:multiLevelType w:val="singleLevel"/>
    <w:tmpl w:val="FAE3F2E2"/>
    <w:lvl w:ilvl="0" w:tentative="0">
      <w:start w:val="2"/>
      <w:numFmt w:val="decimal"/>
      <w:lvlText w:val="%1."/>
      <w:lvlJc w:val="left"/>
      <w:pPr>
        <w:tabs>
          <w:tab w:val="left" w:pos="825"/>
        </w:tabs>
      </w:pPr>
    </w:lvl>
  </w:abstractNum>
  <w:abstractNum w:abstractNumId="1">
    <w:nsid w:val="04891E66"/>
    <w:multiLevelType w:val="multilevel"/>
    <w:tmpl w:val="04891E66"/>
    <w:lvl w:ilvl="0" w:tentative="0">
      <w:start w:val="1"/>
      <w:numFmt w:val="decimal"/>
      <w:lvlText w:val="%1、"/>
      <w:lvlJc w:val="left"/>
      <w:pPr>
        <w:ind w:left="920" w:hanging="440"/>
      </w:pPr>
      <w:rPr>
        <w:rFonts w:hint="eastAsia"/>
      </w:rPr>
    </w:lvl>
    <w:lvl w:ilvl="1" w:tentative="0">
      <w:start w:val="1"/>
      <w:numFmt w:val="decimal"/>
      <w:lvlText w:val="%2、"/>
      <w:lvlJc w:val="left"/>
      <w:pPr>
        <w:ind w:left="920" w:hanging="440"/>
      </w:pPr>
      <w:rPr>
        <w:rFonts w:hint="eastAsia"/>
      </w:r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21736281"/>
    <w:multiLevelType w:val="multilevel"/>
    <w:tmpl w:val="2173628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5CE1564"/>
    <w:multiLevelType w:val="multilevel"/>
    <w:tmpl w:val="25CE1564"/>
    <w:lvl w:ilvl="0" w:tentative="0">
      <w:start w:val="1"/>
      <w:numFmt w:val="decimal"/>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354B365C"/>
    <w:multiLevelType w:val="multilevel"/>
    <w:tmpl w:val="354B365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7E347D7"/>
    <w:multiLevelType w:val="multilevel"/>
    <w:tmpl w:val="37E347D7"/>
    <w:lvl w:ilvl="0" w:tentative="0">
      <w:start w:val="1"/>
      <w:numFmt w:val="decimal"/>
      <w:suff w:val="nothing"/>
      <w:lvlText w:val="第%1章"/>
      <w:lvlJc w:val="center"/>
      <w:pPr>
        <w:ind w:left="0" w:firstLine="0"/>
      </w:pPr>
      <w:rPr>
        <w:rFonts w:hint="eastAsia"/>
      </w:rPr>
    </w:lvl>
    <w:lvl w:ilvl="1" w:tentative="0">
      <w:start w:val="1"/>
      <w:numFmt w:val="decimal"/>
      <w:suff w:val="nothing"/>
      <w:lvlText w:val="%1.1"/>
      <w:lvlJc w:val="left"/>
      <w:pPr>
        <w:ind w:left="0" w:firstLine="0"/>
      </w:pPr>
      <w:rPr>
        <w:rFonts w:hint="eastAsia"/>
      </w:rPr>
    </w:lvl>
    <w:lvl w:ilvl="2" w:tentative="0">
      <w:start w:val="1"/>
      <w:numFmt w:val="decimal"/>
      <w:suff w:val="nothing"/>
      <w:lvlText w:val="%2.%3.1."/>
      <w:lvlJc w:val="left"/>
      <w:pPr>
        <w:ind w:left="0" w:firstLine="170"/>
      </w:pPr>
      <w:rPr>
        <w:rFonts w:hint="eastAsia"/>
      </w:rPr>
    </w:lvl>
    <w:lvl w:ilvl="3" w:tentative="0">
      <w:start w:val="1"/>
      <w:numFmt w:val="decimal"/>
      <w:suff w:val="nothing"/>
      <w:lvlText w:val="%4.%3.1.1"/>
      <w:lvlJc w:val="left"/>
      <w:pPr>
        <w:ind w:left="0" w:firstLine="454"/>
      </w:pPr>
      <w:rPr>
        <w:rFonts w:hint="eastAsia"/>
      </w:rPr>
    </w:lvl>
    <w:lvl w:ilvl="4" w:tentative="0">
      <w:start w:val="1"/>
      <w:numFmt w:val="none"/>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6">
    <w:nsid w:val="3CD6FF4B"/>
    <w:multiLevelType w:val="singleLevel"/>
    <w:tmpl w:val="3CD6FF4B"/>
    <w:lvl w:ilvl="0" w:tentative="0">
      <w:start w:val="1"/>
      <w:numFmt w:val="decimal"/>
      <w:lvlText w:val="%1."/>
      <w:lvlJc w:val="left"/>
      <w:pPr>
        <w:tabs>
          <w:tab w:val="left" w:pos="312"/>
        </w:tabs>
      </w:pPr>
    </w:lvl>
  </w:abstractNum>
  <w:abstractNum w:abstractNumId="7">
    <w:nsid w:val="49EB038F"/>
    <w:multiLevelType w:val="multilevel"/>
    <w:tmpl w:val="49EB038F"/>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4DE93078"/>
    <w:multiLevelType w:val="multilevel"/>
    <w:tmpl w:val="4DE93078"/>
    <w:lvl w:ilvl="0" w:tentative="0">
      <w:start w:val="1"/>
      <w:numFmt w:val="decimal"/>
      <w:lvlText w:val="%1"/>
      <w:lvlJc w:val="left"/>
      <w:pPr>
        <w:ind w:left="866" w:hanging="440"/>
      </w:pPr>
      <w:rPr>
        <w:rFonts w:hint="eastAsia" w:ascii="宋体" w:hAnsi="宋体" w:eastAsia="宋体"/>
        <w:b w:val="0"/>
        <w:bCs w:val="0"/>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9">
    <w:nsid w:val="5E9827B9"/>
    <w:multiLevelType w:val="multilevel"/>
    <w:tmpl w:val="5E9827B9"/>
    <w:lvl w:ilvl="0" w:tentative="0">
      <w:start w:val="1"/>
      <w:numFmt w:val="decimal"/>
      <w:lvlText w:val="（%1）"/>
      <w:lvlJc w:val="left"/>
      <w:pPr>
        <w:ind w:left="866" w:hanging="440"/>
      </w:pPr>
      <w:rPr>
        <w:rFonts w:hint="eastAsia"/>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10">
    <w:nsid w:val="61AC42B2"/>
    <w:multiLevelType w:val="multilevel"/>
    <w:tmpl w:val="61AC42B2"/>
    <w:lvl w:ilvl="0" w:tentative="0">
      <w:start w:val="1"/>
      <w:numFmt w:val="decimal"/>
      <w:lvlText w:val="3.5.2.%1"/>
      <w:lvlJc w:val="left"/>
      <w:pPr>
        <w:ind w:left="922" w:hanging="440"/>
      </w:pPr>
      <w:rPr>
        <w:rFonts w:hint="eastAsia"/>
      </w:rPr>
    </w:lvl>
    <w:lvl w:ilvl="1" w:tentative="0">
      <w:start w:val="1"/>
      <w:numFmt w:val="japaneseCounting"/>
      <w:lvlText w:val="%2、"/>
      <w:lvlJc w:val="left"/>
      <w:pPr>
        <w:ind w:left="1642" w:hanging="720"/>
      </w:pPr>
      <w:rPr>
        <w:rFonts w:hint="default"/>
      </w:r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1">
    <w:nsid w:val="66BF7D34"/>
    <w:multiLevelType w:val="multilevel"/>
    <w:tmpl w:val="66BF7D34"/>
    <w:lvl w:ilvl="0" w:tentative="0">
      <w:start w:val="1"/>
      <w:numFmt w:val="decimal"/>
      <w:lvlText w:val="（%1）"/>
      <w:lvlJc w:val="left"/>
      <w:pPr>
        <w:ind w:left="1717"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
    <w:nsid w:val="675B5D64"/>
    <w:multiLevelType w:val="multilevel"/>
    <w:tmpl w:val="675B5D64"/>
    <w:lvl w:ilvl="0" w:tentative="0">
      <w:start w:val="1"/>
      <w:numFmt w:val="chineseCountingThousand"/>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
    <w:nsid w:val="692F74F3"/>
    <w:multiLevelType w:val="multilevel"/>
    <w:tmpl w:val="692F74F3"/>
    <w:lvl w:ilvl="0" w:tentative="0">
      <w:start w:val="1"/>
      <w:numFmt w:val="decimal"/>
      <w:pStyle w:val="29"/>
      <w:lvlText w:val="（%1）"/>
      <w:lvlJc w:val="left"/>
      <w:pPr>
        <w:ind w:left="5119"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
    <w:nsid w:val="6BFA310D"/>
    <w:multiLevelType w:val="multilevel"/>
    <w:tmpl w:val="6BFA310D"/>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13"/>
  </w:num>
  <w:num w:numId="3">
    <w:abstractNumId w:val="3"/>
  </w:num>
  <w:num w:numId="4">
    <w:abstractNumId w:val="9"/>
  </w:num>
  <w:num w:numId="5">
    <w:abstractNumId w:val="11"/>
  </w:num>
  <w:num w:numId="6">
    <w:abstractNumId w:val="1"/>
  </w:num>
  <w:num w:numId="7">
    <w:abstractNumId w:val="14"/>
  </w:num>
  <w:num w:numId="8">
    <w:abstractNumId w:val="2"/>
  </w:num>
  <w:num w:numId="9">
    <w:abstractNumId w:val="4"/>
  </w:num>
  <w:num w:numId="10">
    <w:abstractNumId w:val="0"/>
  </w:num>
  <w:num w:numId="11">
    <w:abstractNumId w:val="6"/>
  </w:num>
  <w:num w:numId="12">
    <w:abstractNumId w:val="10"/>
  </w:num>
  <w:num w:numId="13">
    <w:abstractNumId w:val="1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zZWU4MDgzZWI2ZjM4ZjQ4YWMyNTg2YjY1OTg0YjIifQ=="/>
  </w:docVars>
  <w:rsids>
    <w:rsidRoot w:val="082548CE"/>
    <w:rsid w:val="00003D20"/>
    <w:rsid w:val="000049FE"/>
    <w:rsid w:val="00004AA6"/>
    <w:rsid w:val="00007691"/>
    <w:rsid w:val="00010A1B"/>
    <w:rsid w:val="00012420"/>
    <w:rsid w:val="000128A6"/>
    <w:rsid w:val="000133C5"/>
    <w:rsid w:val="00014747"/>
    <w:rsid w:val="0001485C"/>
    <w:rsid w:val="00014B18"/>
    <w:rsid w:val="00015E95"/>
    <w:rsid w:val="00016AA5"/>
    <w:rsid w:val="00017C66"/>
    <w:rsid w:val="0002214A"/>
    <w:rsid w:val="000223A0"/>
    <w:rsid w:val="00025C2D"/>
    <w:rsid w:val="0002693F"/>
    <w:rsid w:val="0002767E"/>
    <w:rsid w:val="00027C6D"/>
    <w:rsid w:val="00030BE7"/>
    <w:rsid w:val="000311B3"/>
    <w:rsid w:val="00032375"/>
    <w:rsid w:val="0003275E"/>
    <w:rsid w:val="0003626C"/>
    <w:rsid w:val="0003649B"/>
    <w:rsid w:val="000428D3"/>
    <w:rsid w:val="00043C53"/>
    <w:rsid w:val="00047747"/>
    <w:rsid w:val="00052A44"/>
    <w:rsid w:val="000677B3"/>
    <w:rsid w:val="00071433"/>
    <w:rsid w:val="000715DC"/>
    <w:rsid w:val="00073F28"/>
    <w:rsid w:val="00073F8F"/>
    <w:rsid w:val="0007628C"/>
    <w:rsid w:val="00077B3F"/>
    <w:rsid w:val="0008486E"/>
    <w:rsid w:val="0009052C"/>
    <w:rsid w:val="000929FB"/>
    <w:rsid w:val="00093624"/>
    <w:rsid w:val="00094FA0"/>
    <w:rsid w:val="00097311"/>
    <w:rsid w:val="0009780B"/>
    <w:rsid w:val="000A035E"/>
    <w:rsid w:val="000A2130"/>
    <w:rsid w:val="000A4800"/>
    <w:rsid w:val="000B3B32"/>
    <w:rsid w:val="000B4CD1"/>
    <w:rsid w:val="000B6910"/>
    <w:rsid w:val="000B7483"/>
    <w:rsid w:val="000C3255"/>
    <w:rsid w:val="000C44E8"/>
    <w:rsid w:val="000C709A"/>
    <w:rsid w:val="000D06F6"/>
    <w:rsid w:val="000D105C"/>
    <w:rsid w:val="000D111F"/>
    <w:rsid w:val="000D5F44"/>
    <w:rsid w:val="000D7BA5"/>
    <w:rsid w:val="000E15B4"/>
    <w:rsid w:val="000E3306"/>
    <w:rsid w:val="000E6791"/>
    <w:rsid w:val="000E76F6"/>
    <w:rsid w:val="000E7AB0"/>
    <w:rsid w:val="000F096D"/>
    <w:rsid w:val="000F30E7"/>
    <w:rsid w:val="000F78CE"/>
    <w:rsid w:val="001007A3"/>
    <w:rsid w:val="001044D5"/>
    <w:rsid w:val="00111DCE"/>
    <w:rsid w:val="00113400"/>
    <w:rsid w:val="0011434F"/>
    <w:rsid w:val="001147B4"/>
    <w:rsid w:val="00115969"/>
    <w:rsid w:val="00116C3B"/>
    <w:rsid w:val="00122EDF"/>
    <w:rsid w:val="001234A2"/>
    <w:rsid w:val="00123876"/>
    <w:rsid w:val="001251B7"/>
    <w:rsid w:val="00125E90"/>
    <w:rsid w:val="00126E3C"/>
    <w:rsid w:val="00133104"/>
    <w:rsid w:val="001331AB"/>
    <w:rsid w:val="00137999"/>
    <w:rsid w:val="00137BA4"/>
    <w:rsid w:val="00137E70"/>
    <w:rsid w:val="0014259B"/>
    <w:rsid w:val="00143CD5"/>
    <w:rsid w:val="001448CA"/>
    <w:rsid w:val="00144C5D"/>
    <w:rsid w:val="00146BB0"/>
    <w:rsid w:val="001519F8"/>
    <w:rsid w:val="00153257"/>
    <w:rsid w:val="00153A3C"/>
    <w:rsid w:val="0015475F"/>
    <w:rsid w:val="00156F31"/>
    <w:rsid w:val="001638A7"/>
    <w:rsid w:val="00164E9A"/>
    <w:rsid w:val="001650A9"/>
    <w:rsid w:val="00165ABC"/>
    <w:rsid w:val="0016698C"/>
    <w:rsid w:val="00166FB2"/>
    <w:rsid w:val="0017011A"/>
    <w:rsid w:val="00171044"/>
    <w:rsid w:val="00172241"/>
    <w:rsid w:val="00172653"/>
    <w:rsid w:val="00173111"/>
    <w:rsid w:val="00173535"/>
    <w:rsid w:val="00180B3C"/>
    <w:rsid w:val="00180D91"/>
    <w:rsid w:val="00180E2C"/>
    <w:rsid w:val="00182353"/>
    <w:rsid w:val="00183CE3"/>
    <w:rsid w:val="0018489E"/>
    <w:rsid w:val="00186B28"/>
    <w:rsid w:val="00191136"/>
    <w:rsid w:val="00192869"/>
    <w:rsid w:val="00192B44"/>
    <w:rsid w:val="00192E83"/>
    <w:rsid w:val="00194E9F"/>
    <w:rsid w:val="001966DC"/>
    <w:rsid w:val="001A0D6E"/>
    <w:rsid w:val="001A247B"/>
    <w:rsid w:val="001A25E9"/>
    <w:rsid w:val="001A2EC2"/>
    <w:rsid w:val="001A30CE"/>
    <w:rsid w:val="001A359F"/>
    <w:rsid w:val="001A3CD7"/>
    <w:rsid w:val="001A4FF9"/>
    <w:rsid w:val="001A5DE3"/>
    <w:rsid w:val="001B12B2"/>
    <w:rsid w:val="001B21E7"/>
    <w:rsid w:val="001B29E9"/>
    <w:rsid w:val="001B2F36"/>
    <w:rsid w:val="001B2F55"/>
    <w:rsid w:val="001B4E71"/>
    <w:rsid w:val="001B4EF2"/>
    <w:rsid w:val="001B773A"/>
    <w:rsid w:val="001C0261"/>
    <w:rsid w:val="001C0FB5"/>
    <w:rsid w:val="001C1446"/>
    <w:rsid w:val="001C1A1C"/>
    <w:rsid w:val="001C1DC7"/>
    <w:rsid w:val="001C282A"/>
    <w:rsid w:val="001C5A4A"/>
    <w:rsid w:val="001C6448"/>
    <w:rsid w:val="001C65D1"/>
    <w:rsid w:val="001C66FC"/>
    <w:rsid w:val="001D371D"/>
    <w:rsid w:val="001D7CE3"/>
    <w:rsid w:val="001E037D"/>
    <w:rsid w:val="001E0B84"/>
    <w:rsid w:val="001E0EFD"/>
    <w:rsid w:val="001E3810"/>
    <w:rsid w:val="001E4B66"/>
    <w:rsid w:val="001E6F50"/>
    <w:rsid w:val="001F1377"/>
    <w:rsid w:val="001F2C14"/>
    <w:rsid w:val="001F3359"/>
    <w:rsid w:val="001F6926"/>
    <w:rsid w:val="001F71FA"/>
    <w:rsid w:val="001F7BF7"/>
    <w:rsid w:val="00201F48"/>
    <w:rsid w:val="00202F08"/>
    <w:rsid w:val="002035DB"/>
    <w:rsid w:val="002123B5"/>
    <w:rsid w:val="00212617"/>
    <w:rsid w:val="002177DF"/>
    <w:rsid w:val="00220356"/>
    <w:rsid w:val="00220B5E"/>
    <w:rsid w:val="0022109C"/>
    <w:rsid w:val="00222690"/>
    <w:rsid w:val="00223E72"/>
    <w:rsid w:val="002257CF"/>
    <w:rsid w:val="002266EC"/>
    <w:rsid w:val="00226A6A"/>
    <w:rsid w:val="00234280"/>
    <w:rsid w:val="00234F90"/>
    <w:rsid w:val="002371A7"/>
    <w:rsid w:val="00237514"/>
    <w:rsid w:val="0024547A"/>
    <w:rsid w:val="00245E10"/>
    <w:rsid w:val="00246A93"/>
    <w:rsid w:val="00251215"/>
    <w:rsid w:val="00251B9A"/>
    <w:rsid w:val="00253185"/>
    <w:rsid w:val="00254B64"/>
    <w:rsid w:val="0025728D"/>
    <w:rsid w:val="0025759F"/>
    <w:rsid w:val="0026078F"/>
    <w:rsid w:val="00262ABB"/>
    <w:rsid w:val="002640DA"/>
    <w:rsid w:val="00273B20"/>
    <w:rsid w:val="0027513B"/>
    <w:rsid w:val="00276356"/>
    <w:rsid w:val="00281686"/>
    <w:rsid w:val="0028311B"/>
    <w:rsid w:val="00283328"/>
    <w:rsid w:val="00284528"/>
    <w:rsid w:val="00291797"/>
    <w:rsid w:val="00294589"/>
    <w:rsid w:val="00294F1E"/>
    <w:rsid w:val="002960B4"/>
    <w:rsid w:val="0029660D"/>
    <w:rsid w:val="002A71DD"/>
    <w:rsid w:val="002A7819"/>
    <w:rsid w:val="002A7BB6"/>
    <w:rsid w:val="002B2FC2"/>
    <w:rsid w:val="002B3125"/>
    <w:rsid w:val="002B3EE8"/>
    <w:rsid w:val="002B4957"/>
    <w:rsid w:val="002B63BA"/>
    <w:rsid w:val="002B7A1D"/>
    <w:rsid w:val="002C1496"/>
    <w:rsid w:val="002C1C7A"/>
    <w:rsid w:val="002C2BA6"/>
    <w:rsid w:val="002C2C9C"/>
    <w:rsid w:val="002C6343"/>
    <w:rsid w:val="002C7C69"/>
    <w:rsid w:val="002D0AD7"/>
    <w:rsid w:val="002D4D3E"/>
    <w:rsid w:val="002D771C"/>
    <w:rsid w:val="002E0C6F"/>
    <w:rsid w:val="002E410B"/>
    <w:rsid w:val="002E6BC2"/>
    <w:rsid w:val="002E792F"/>
    <w:rsid w:val="002F1393"/>
    <w:rsid w:val="002F3949"/>
    <w:rsid w:val="002F7A02"/>
    <w:rsid w:val="003017DC"/>
    <w:rsid w:val="00306051"/>
    <w:rsid w:val="00306C40"/>
    <w:rsid w:val="00307190"/>
    <w:rsid w:val="003168BC"/>
    <w:rsid w:val="00316DF3"/>
    <w:rsid w:val="0032332A"/>
    <w:rsid w:val="00323BA7"/>
    <w:rsid w:val="00326B5B"/>
    <w:rsid w:val="00331FD3"/>
    <w:rsid w:val="00333358"/>
    <w:rsid w:val="003341B9"/>
    <w:rsid w:val="00334B2C"/>
    <w:rsid w:val="00335D02"/>
    <w:rsid w:val="003458D9"/>
    <w:rsid w:val="003462A4"/>
    <w:rsid w:val="0034775E"/>
    <w:rsid w:val="003503B3"/>
    <w:rsid w:val="003503B7"/>
    <w:rsid w:val="00350A18"/>
    <w:rsid w:val="00352066"/>
    <w:rsid w:val="00353B4E"/>
    <w:rsid w:val="003565FA"/>
    <w:rsid w:val="00357A7A"/>
    <w:rsid w:val="00361DC9"/>
    <w:rsid w:val="00366D20"/>
    <w:rsid w:val="00367CBC"/>
    <w:rsid w:val="00367FD3"/>
    <w:rsid w:val="00370B51"/>
    <w:rsid w:val="00373A92"/>
    <w:rsid w:val="00375779"/>
    <w:rsid w:val="00377F54"/>
    <w:rsid w:val="003804C6"/>
    <w:rsid w:val="00380604"/>
    <w:rsid w:val="003816E8"/>
    <w:rsid w:val="00381AFF"/>
    <w:rsid w:val="00382CDD"/>
    <w:rsid w:val="00382DC0"/>
    <w:rsid w:val="003830F6"/>
    <w:rsid w:val="00385385"/>
    <w:rsid w:val="003862F3"/>
    <w:rsid w:val="00387238"/>
    <w:rsid w:val="00387D1F"/>
    <w:rsid w:val="00390B38"/>
    <w:rsid w:val="00391301"/>
    <w:rsid w:val="00395927"/>
    <w:rsid w:val="003974A0"/>
    <w:rsid w:val="00397D6E"/>
    <w:rsid w:val="003A07D3"/>
    <w:rsid w:val="003A4DF7"/>
    <w:rsid w:val="003A6E58"/>
    <w:rsid w:val="003B1E5A"/>
    <w:rsid w:val="003B536E"/>
    <w:rsid w:val="003B56CC"/>
    <w:rsid w:val="003B673B"/>
    <w:rsid w:val="003C3E3E"/>
    <w:rsid w:val="003C71C2"/>
    <w:rsid w:val="003D01FB"/>
    <w:rsid w:val="003D04DD"/>
    <w:rsid w:val="003D3702"/>
    <w:rsid w:val="003D44EA"/>
    <w:rsid w:val="003D4718"/>
    <w:rsid w:val="003D48DA"/>
    <w:rsid w:val="003D572A"/>
    <w:rsid w:val="003D780C"/>
    <w:rsid w:val="003D79FA"/>
    <w:rsid w:val="003E2D06"/>
    <w:rsid w:val="003E359B"/>
    <w:rsid w:val="003E67E7"/>
    <w:rsid w:val="003E7144"/>
    <w:rsid w:val="003E73AD"/>
    <w:rsid w:val="003F04D3"/>
    <w:rsid w:val="003F0A23"/>
    <w:rsid w:val="003F1AAE"/>
    <w:rsid w:val="003F2693"/>
    <w:rsid w:val="003F34C1"/>
    <w:rsid w:val="00400754"/>
    <w:rsid w:val="00401E64"/>
    <w:rsid w:val="00402B50"/>
    <w:rsid w:val="00403544"/>
    <w:rsid w:val="00407C10"/>
    <w:rsid w:val="004105E1"/>
    <w:rsid w:val="00413A21"/>
    <w:rsid w:val="00413FF9"/>
    <w:rsid w:val="004144C0"/>
    <w:rsid w:val="00415073"/>
    <w:rsid w:val="00416A75"/>
    <w:rsid w:val="00422347"/>
    <w:rsid w:val="00423837"/>
    <w:rsid w:val="004242B0"/>
    <w:rsid w:val="004300AD"/>
    <w:rsid w:val="00433EB8"/>
    <w:rsid w:val="004342C3"/>
    <w:rsid w:val="004400EC"/>
    <w:rsid w:val="00440D29"/>
    <w:rsid w:val="00442647"/>
    <w:rsid w:val="0044419B"/>
    <w:rsid w:val="004443AF"/>
    <w:rsid w:val="00444DC6"/>
    <w:rsid w:val="00447011"/>
    <w:rsid w:val="00452FB1"/>
    <w:rsid w:val="00455360"/>
    <w:rsid w:val="00456E6D"/>
    <w:rsid w:val="00461466"/>
    <w:rsid w:val="0046252B"/>
    <w:rsid w:val="00463192"/>
    <w:rsid w:val="0046580A"/>
    <w:rsid w:val="00466712"/>
    <w:rsid w:val="00471193"/>
    <w:rsid w:val="00473E47"/>
    <w:rsid w:val="00481061"/>
    <w:rsid w:val="00483BA8"/>
    <w:rsid w:val="0048526F"/>
    <w:rsid w:val="00490A72"/>
    <w:rsid w:val="00490E8F"/>
    <w:rsid w:val="00493C6F"/>
    <w:rsid w:val="00495EE8"/>
    <w:rsid w:val="00497139"/>
    <w:rsid w:val="004A10AF"/>
    <w:rsid w:val="004A1A51"/>
    <w:rsid w:val="004A3E79"/>
    <w:rsid w:val="004B1406"/>
    <w:rsid w:val="004B297D"/>
    <w:rsid w:val="004B3733"/>
    <w:rsid w:val="004B58AC"/>
    <w:rsid w:val="004B635C"/>
    <w:rsid w:val="004B647C"/>
    <w:rsid w:val="004B664F"/>
    <w:rsid w:val="004B6D6E"/>
    <w:rsid w:val="004B7609"/>
    <w:rsid w:val="004C4157"/>
    <w:rsid w:val="004C500A"/>
    <w:rsid w:val="004D0505"/>
    <w:rsid w:val="004D2E2E"/>
    <w:rsid w:val="004D4F5B"/>
    <w:rsid w:val="004D5336"/>
    <w:rsid w:val="004D5562"/>
    <w:rsid w:val="004D5E95"/>
    <w:rsid w:val="004D7627"/>
    <w:rsid w:val="004E0295"/>
    <w:rsid w:val="004E29F4"/>
    <w:rsid w:val="004E48EA"/>
    <w:rsid w:val="004E568F"/>
    <w:rsid w:val="004E5E5E"/>
    <w:rsid w:val="004F1DFC"/>
    <w:rsid w:val="004F3267"/>
    <w:rsid w:val="004F6438"/>
    <w:rsid w:val="004F746D"/>
    <w:rsid w:val="00500C62"/>
    <w:rsid w:val="00500D23"/>
    <w:rsid w:val="0050191E"/>
    <w:rsid w:val="00501B12"/>
    <w:rsid w:val="00502D9A"/>
    <w:rsid w:val="005038F5"/>
    <w:rsid w:val="0050431D"/>
    <w:rsid w:val="00505B84"/>
    <w:rsid w:val="00505DA5"/>
    <w:rsid w:val="00507220"/>
    <w:rsid w:val="00511B7E"/>
    <w:rsid w:val="00511BB2"/>
    <w:rsid w:val="005136BE"/>
    <w:rsid w:val="00513917"/>
    <w:rsid w:val="00514C7C"/>
    <w:rsid w:val="00515D5C"/>
    <w:rsid w:val="00522B17"/>
    <w:rsid w:val="00523746"/>
    <w:rsid w:val="00526828"/>
    <w:rsid w:val="0053247A"/>
    <w:rsid w:val="0053371C"/>
    <w:rsid w:val="005344EA"/>
    <w:rsid w:val="00534690"/>
    <w:rsid w:val="00537895"/>
    <w:rsid w:val="00540727"/>
    <w:rsid w:val="00543B34"/>
    <w:rsid w:val="00546784"/>
    <w:rsid w:val="0054692E"/>
    <w:rsid w:val="00547BA9"/>
    <w:rsid w:val="005527CF"/>
    <w:rsid w:val="00552FCA"/>
    <w:rsid w:val="005534F0"/>
    <w:rsid w:val="005536F4"/>
    <w:rsid w:val="0056091C"/>
    <w:rsid w:val="00562661"/>
    <w:rsid w:val="00563412"/>
    <w:rsid w:val="00570AB1"/>
    <w:rsid w:val="00571CF6"/>
    <w:rsid w:val="00571D4B"/>
    <w:rsid w:val="00571ED2"/>
    <w:rsid w:val="00573498"/>
    <w:rsid w:val="0057409B"/>
    <w:rsid w:val="00574F4E"/>
    <w:rsid w:val="0057611D"/>
    <w:rsid w:val="00580D14"/>
    <w:rsid w:val="005810F8"/>
    <w:rsid w:val="005821EB"/>
    <w:rsid w:val="00582FDC"/>
    <w:rsid w:val="0059697F"/>
    <w:rsid w:val="005A0018"/>
    <w:rsid w:val="005A2444"/>
    <w:rsid w:val="005A39DA"/>
    <w:rsid w:val="005A7A9B"/>
    <w:rsid w:val="005B1347"/>
    <w:rsid w:val="005B3704"/>
    <w:rsid w:val="005B3B6D"/>
    <w:rsid w:val="005B58DD"/>
    <w:rsid w:val="005B5973"/>
    <w:rsid w:val="005B728F"/>
    <w:rsid w:val="005B737C"/>
    <w:rsid w:val="005C1C2F"/>
    <w:rsid w:val="005C3A0F"/>
    <w:rsid w:val="005C5A6E"/>
    <w:rsid w:val="005C6F1F"/>
    <w:rsid w:val="005C7A78"/>
    <w:rsid w:val="005D09BF"/>
    <w:rsid w:val="005D3DAA"/>
    <w:rsid w:val="005D3E62"/>
    <w:rsid w:val="005D5C16"/>
    <w:rsid w:val="005D67E1"/>
    <w:rsid w:val="005E1A40"/>
    <w:rsid w:val="005E2474"/>
    <w:rsid w:val="005E3904"/>
    <w:rsid w:val="005E4C53"/>
    <w:rsid w:val="005E7CC1"/>
    <w:rsid w:val="005E7D01"/>
    <w:rsid w:val="005F2CD4"/>
    <w:rsid w:val="005F30E7"/>
    <w:rsid w:val="005F7693"/>
    <w:rsid w:val="005F7B28"/>
    <w:rsid w:val="005F7DF2"/>
    <w:rsid w:val="00601AAA"/>
    <w:rsid w:val="00602437"/>
    <w:rsid w:val="006025ED"/>
    <w:rsid w:val="00603077"/>
    <w:rsid w:val="0060397E"/>
    <w:rsid w:val="00603AD9"/>
    <w:rsid w:val="00604549"/>
    <w:rsid w:val="0060475B"/>
    <w:rsid w:val="00605944"/>
    <w:rsid w:val="00607D1B"/>
    <w:rsid w:val="006106B5"/>
    <w:rsid w:val="0061112D"/>
    <w:rsid w:val="006154B9"/>
    <w:rsid w:val="00615FAE"/>
    <w:rsid w:val="006170D3"/>
    <w:rsid w:val="00617814"/>
    <w:rsid w:val="00622516"/>
    <w:rsid w:val="00622C95"/>
    <w:rsid w:val="00625546"/>
    <w:rsid w:val="0063029D"/>
    <w:rsid w:val="006302D5"/>
    <w:rsid w:val="0063115E"/>
    <w:rsid w:val="00634617"/>
    <w:rsid w:val="00635047"/>
    <w:rsid w:val="00637EA0"/>
    <w:rsid w:val="00641C57"/>
    <w:rsid w:val="00643BEA"/>
    <w:rsid w:val="00646526"/>
    <w:rsid w:val="0064710E"/>
    <w:rsid w:val="00650CD8"/>
    <w:rsid w:val="00651434"/>
    <w:rsid w:val="00651582"/>
    <w:rsid w:val="0065164F"/>
    <w:rsid w:val="00652C0C"/>
    <w:rsid w:val="006533A2"/>
    <w:rsid w:val="00656056"/>
    <w:rsid w:val="00656583"/>
    <w:rsid w:val="00656E81"/>
    <w:rsid w:val="006601A1"/>
    <w:rsid w:val="00660402"/>
    <w:rsid w:val="00661C58"/>
    <w:rsid w:val="00664388"/>
    <w:rsid w:val="00664F79"/>
    <w:rsid w:val="006660CD"/>
    <w:rsid w:val="00673262"/>
    <w:rsid w:val="0067453D"/>
    <w:rsid w:val="006747C4"/>
    <w:rsid w:val="0067493C"/>
    <w:rsid w:val="0067699F"/>
    <w:rsid w:val="00676C77"/>
    <w:rsid w:val="006837BF"/>
    <w:rsid w:val="0068515F"/>
    <w:rsid w:val="00687F7F"/>
    <w:rsid w:val="0069211D"/>
    <w:rsid w:val="00693608"/>
    <w:rsid w:val="00695548"/>
    <w:rsid w:val="006A3A6E"/>
    <w:rsid w:val="006A5C57"/>
    <w:rsid w:val="006A7DC5"/>
    <w:rsid w:val="006B2784"/>
    <w:rsid w:val="006B69BE"/>
    <w:rsid w:val="006B6A27"/>
    <w:rsid w:val="006B7BAF"/>
    <w:rsid w:val="006C086F"/>
    <w:rsid w:val="006C1800"/>
    <w:rsid w:val="006C3B5D"/>
    <w:rsid w:val="006C6D95"/>
    <w:rsid w:val="006D1592"/>
    <w:rsid w:val="006D308A"/>
    <w:rsid w:val="006D3316"/>
    <w:rsid w:val="006D4421"/>
    <w:rsid w:val="006D5698"/>
    <w:rsid w:val="006E0E0D"/>
    <w:rsid w:val="006E362B"/>
    <w:rsid w:val="006E5112"/>
    <w:rsid w:val="006F1102"/>
    <w:rsid w:val="006F1174"/>
    <w:rsid w:val="006F1F4B"/>
    <w:rsid w:val="006F2226"/>
    <w:rsid w:val="006F2A64"/>
    <w:rsid w:val="006F4527"/>
    <w:rsid w:val="006F59B5"/>
    <w:rsid w:val="006F767B"/>
    <w:rsid w:val="0070029A"/>
    <w:rsid w:val="0070285C"/>
    <w:rsid w:val="00704795"/>
    <w:rsid w:val="007048F0"/>
    <w:rsid w:val="007075C7"/>
    <w:rsid w:val="00713B8D"/>
    <w:rsid w:val="0071551E"/>
    <w:rsid w:val="007155BB"/>
    <w:rsid w:val="00715C2D"/>
    <w:rsid w:val="00717A5F"/>
    <w:rsid w:val="0072484C"/>
    <w:rsid w:val="007271B4"/>
    <w:rsid w:val="00730246"/>
    <w:rsid w:val="0073526D"/>
    <w:rsid w:val="0073556A"/>
    <w:rsid w:val="00737A47"/>
    <w:rsid w:val="00741D3D"/>
    <w:rsid w:val="007443B7"/>
    <w:rsid w:val="007448F6"/>
    <w:rsid w:val="00745256"/>
    <w:rsid w:val="00746833"/>
    <w:rsid w:val="00750133"/>
    <w:rsid w:val="007502C4"/>
    <w:rsid w:val="00752514"/>
    <w:rsid w:val="00753B32"/>
    <w:rsid w:val="00754788"/>
    <w:rsid w:val="007578D1"/>
    <w:rsid w:val="00762B0D"/>
    <w:rsid w:val="0076444F"/>
    <w:rsid w:val="007661E2"/>
    <w:rsid w:val="007714CB"/>
    <w:rsid w:val="0077188D"/>
    <w:rsid w:val="007743CD"/>
    <w:rsid w:val="00774C5A"/>
    <w:rsid w:val="00774D08"/>
    <w:rsid w:val="00776C05"/>
    <w:rsid w:val="007778D0"/>
    <w:rsid w:val="00777F53"/>
    <w:rsid w:val="00784082"/>
    <w:rsid w:val="00784246"/>
    <w:rsid w:val="00784F19"/>
    <w:rsid w:val="0078560C"/>
    <w:rsid w:val="00786166"/>
    <w:rsid w:val="00787A9F"/>
    <w:rsid w:val="00792102"/>
    <w:rsid w:val="00792F22"/>
    <w:rsid w:val="00794780"/>
    <w:rsid w:val="00796A46"/>
    <w:rsid w:val="007A1F30"/>
    <w:rsid w:val="007A43DD"/>
    <w:rsid w:val="007A47DB"/>
    <w:rsid w:val="007A61DF"/>
    <w:rsid w:val="007B3738"/>
    <w:rsid w:val="007B46B0"/>
    <w:rsid w:val="007B691D"/>
    <w:rsid w:val="007C0D34"/>
    <w:rsid w:val="007C1EF6"/>
    <w:rsid w:val="007C4627"/>
    <w:rsid w:val="007C6669"/>
    <w:rsid w:val="007D040A"/>
    <w:rsid w:val="007D066E"/>
    <w:rsid w:val="007D1B53"/>
    <w:rsid w:val="007D2174"/>
    <w:rsid w:val="007D3B53"/>
    <w:rsid w:val="007D3CCC"/>
    <w:rsid w:val="007D4063"/>
    <w:rsid w:val="007D5BD3"/>
    <w:rsid w:val="007E0A28"/>
    <w:rsid w:val="007E201B"/>
    <w:rsid w:val="007E203E"/>
    <w:rsid w:val="007E2E4B"/>
    <w:rsid w:val="007E68C9"/>
    <w:rsid w:val="007F22FD"/>
    <w:rsid w:val="007F269A"/>
    <w:rsid w:val="007F4A4A"/>
    <w:rsid w:val="007F4C64"/>
    <w:rsid w:val="007F5D85"/>
    <w:rsid w:val="007F688E"/>
    <w:rsid w:val="007F6A18"/>
    <w:rsid w:val="007F73A2"/>
    <w:rsid w:val="00800716"/>
    <w:rsid w:val="00804E2F"/>
    <w:rsid w:val="00805791"/>
    <w:rsid w:val="00806EB5"/>
    <w:rsid w:val="008077E3"/>
    <w:rsid w:val="008100E4"/>
    <w:rsid w:val="00811E1C"/>
    <w:rsid w:val="00812F7F"/>
    <w:rsid w:val="00813D8C"/>
    <w:rsid w:val="00813E46"/>
    <w:rsid w:val="008144D2"/>
    <w:rsid w:val="00814E8D"/>
    <w:rsid w:val="008150F0"/>
    <w:rsid w:val="008167FC"/>
    <w:rsid w:val="008222D5"/>
    <w:rsid w:val="008234D9"/>
    <w:rsid w:val="00823D4F"/>
    <w:rsid w:val="00823DCB"/>
    <w:rsid w:val="008244CA"/>
    <w:rsid w:val="00825196"/>
    <w:rsid w:val="008305DE"/>
    <w:rsid w:val="00830B76"/>
    <w:rsid w:val="00830C07"/>
    <w:rsid w:val="00831C54"/>
    <w:rsid w:val="00832D49"/>
    <w:rsid w:val="00835764"/>
    <w:rsid w:val="0083591D"/>
    <w:rsid w:val="00835A1B"/>
    <w:rsid w:val="00840013"/>
    <w:rsid w:val="008417EC"/>
    <w:rsid w:val="00843D2F"/>
    <w:rsid w:val="00845DE3"/>
    <w:rsid w:val="008471E7"/>
    <w:rsid w:val="00847573"/>
    <w:rsid w:val="00847898"/>
    <w:rsid w:val="00850612"/>
    <w:rsid w:val="00850BC4"/>
    <w:rsid w:val="00851369"/>
    <w:rsid w:val="0085195C"/>
    <w:rsid w:val="00852B87"/>
    <w:rsid w:val="00853361"/>
    <w:rsid w:val="00856B92"/>
    <w:rsid w:val="008621B0"/>
    <w:rsid w:val="00862A97"/>
    <w:rsid w:val="00862BBC"/>
    <w:rsid w:val="00864C4C"/>
    <w:rsid w:val="00866BB5"/>
    <w:rsid w:val="00867B03"/>
    <w:rsid w:val="0087088A"/>
    <w:rsid w:val="00871B4B"/>
    <w:rsid w:val="00871CC4"/>
    <w:rsid w:val="00872AD7"/>
    <w:rsid w:val="008751F6"/>
    <w:rsid w:val="00877020"/>
    <w:rsid w:val="00881D30"/>
    <w:rsid w:val="008835D3"/>
    <w:rsid w:val="00883B71"/>
    <w:rsid w:val="00884DE7"/>
    <w:rsid w:val="0089050B"/>
    <w:rsid w:val="0089136B"/>
    <w:rsid w:val="00891B05"/>
    <w:rsid w:val="0089473B"/>
    <w:rsid w:val="008A6B83"/>
    <w:rsid w:val="008B16AA"/>
    <w:rsid w:val="008B213C"/>
    <w:rsid w:val="008B2395"/>
    <w:rsid w:val="008B4374"/>
    <w:rsid w:val="008B73E9"/>
    <w:rsid w:val="008B7466"/>
    <w:rsid w:val="008C2453"/>
    <w:rsid w:val="008C32A2"/>
    <w:rsid w:val="008C397D"/>
    <w:rsid w:val="008C77AF"/>
    <w:rsid w:val="008D051F"/>
    <w:rsid w:val="008D2D9E"/>
    <w:rsid w:val="008D71A8"/>
    <w:rsid w:val="008D7EE1"/>
    <w:rsid w:val="008E0714"/>
    <w:rsid w:val="008E1520"/>
    <w:rsid w:val="008E2EC7"/>
    <w:rsid w:val="008E4484"/>
    <w:rsid w:val="008E7283"/>
    <w:rsid w:val="008E7D96"/>
    <w:rsid w:val="008F0E31"/>
    <w:rsid w:val="008F0F65"/>
    <w:rsid w:val="008F15AE"/>
    <w:rsid w:val="008F4922"/>
    <w:rsid w:val="008F5576"/>
    <w:rsid w:val="00903227"/>
    <w:rsid w:val="00904035"/>
    <w:rsid w:val="00907E00"/>
    <w:rsid w:val="009101AF"/>
    <w:rsid w:val="00912189"/>
    <w:rsid w:val="00913A4C"/>
    <w:rsid w:val="00914128"/>
    <w:rsid w:val="0091486E"/>
    <w:rsid w:val="009171CC"/>
    <w:rsid w:val="0092036B"/>
    <w:rsid w:val="009233AD"/>
    <w:rsid w:val="00924B16"/>
    <w:rsid w:val="00924D7F"/>
    <w:rsid w:val="00925066"/>
    <w:rsid w:val="0092575C"/>
    <w:rsid w:val="00926F10"/>
    <w:rsid w:val="0093069F"/>
    <w:rsid w:val="009316E1"/>
    <w:rsid w:val="009323F5"/>
    <w:rsid w:val="00934D4B"/>
    <w:rsid w:val="00935256"/>
    <w:rsid w:val="00935EA3"/>
    <w:rsid w:val="00942AFD"/>
    <w:rsid w:val="00942B0E"/>
    <w:rsid w:val="009437FD"/>
    <w:rsid w:val="00953D7B"/>
    <w:rsid w:val="00953DF7"/>
    <w:rsid w:val="009553E2"/>
    <w:rsid w:val="00956C25"/>
    <w:rsid w:val="00957203"/>
    <w:rsid w:val="0095761D"/>
    <w:rsid w:val="00960113"/>
    <w:rsid w:val="00961D84"/>
    <w:rsid w:val="00962DED"/>
    <w:rsid w:val="00962F72"/>
    <w:rsid w:val="00963590"/>
    <w:rsid w:val="0096619D"/>
    <w:rsid w:val="0096633E"/>
    <w:rsid w:val="009668B2"/>
    <w:rsid w:val="00967987"/>
    <w:rsid w:val="00967D5E"/>
    <w:rsid w:val="009736A6"/>
    <w:rsid w:val="009802EE"/>
    <w:rsid w:val="00984A23"/>
    <w:rsid w:val="00986745"/>
    <w:rsid w:val="00991639"/>
    <w:rsid w:val="00991FAB"/>
    <w:rsid w:val="0099218D"/>
    <w:rsid w:val="00993C5F"/>
    <w:rsid w:val="00994280"/>
    <w:rsid w:val="00996090"/>
    <w:rsid w:val="0099693E"/>
    <w:rsid w:val="009A0305"/>
    <w:rsid w:val="009A15C2"/>
    <w:rsid w:val="009A3B7C"/>
    <w:rsid w:val="009A72B3"/>
    <w:rsid w:val="009B15AE"/>
    <w:rsid w:val="009B4294"/>
    <w:rsid w:val="009C05BB"/>
    <w:rsid w:val="009C0FD8"/>
    <w:rsid w:val="009C6AA6"/>
    <w:rsid w:val="009C6ADC"/>
    <w:rsid w:val="009D02AD"/>
    <w:rsid w:val="009D07BA"/>
    <w:rsid w:val="009D1FF8"/>
    <w:rsid w:val="009D23C9"/>
    <w:rsid w:val="009D3A98"/>
    <w:rsid w:val="009D64BE"/>
    <w:rsid w:val="009D7FDD"/>
    <w:rsid w:val="009E128D"/>
    <w:rsid w:val="009E1697"/>
    <w:rsid w:val="009E2149"/>
    <w:rsid w:val="009E4367"/>
    <w:rsid w:val="009E60EF"/>
    <w:rsid w:val="009E67FD"/>
    <w:rsid w:val="009E6808"/>
    <w:rsid w:val="009E6E1D"/>
    <w:rsid w:val="009E7B6B"/>
    <w:rsid w:val="009F0C76"/>
    <w:rsid w:val="009F144C"/>
    <w:rsid w:val="009F4B11"/>
    <w:rsid w:val="00A03E5D"/>
    <w:rsid w:val="00A060A1"/>
    <w:rsid w:val="00A10525"/>
    <w:rsid w:val="00A120D5"/>
    <w:rsid w:val="00A12703"/>
    <w:rsid w:val="00A1292E"/>
    <w:rsid w:val="00A13701"/>
    <w:rsid w:val="00A1487F"/>
    <w:rsid w:val="00A17EEF"/>
    <w:rsid w:val="00A20ABA"/>
    <w:rsid w:val="00A24D62"/>
    <w:rsid w:val="00A24F88"/>
    <w:rsid w:val="00A25600"/>
    <w:rsid w:val="00A302C4"/>
    <w:rsid w:val="00A31183"/>
    <w:rsid w:val="00A330A0"/>
    <w:rsid w:val="00A34CB5"/>
    <w:rsid w:val="00A35DC9"/>
    <w:rsid w:val="00A37603"/>
    <w:rsid w:val="00A4063C"/>
    <w:rsid w:val="00A41A05"/>
    <w:rsid w:val="00A42099"/>
    <w:rsid w:val="00A43D8C"/>
    <w:rsid w:val="00A508E6"/>
    <w:rsid w:val="00A55F28"/>
    <w:rsid w:val="00A57B71"/>
    <w:rsid w:val="00A6262D"/>
    <w:rsid w:val="00A62BAF"/>
    <w:rsid w:val="00A63A23"/>
    <w:rsid w:val="00A66B3C"/>
    <w:rsid w:val="00A85943"/>
    <w:rsid w:val="00A87E81"/>
    <w:rsid w:val="00A9052E"/>
    <w:rsid w:val="00A95C3A"/>
    <w:rsid w:val="00AA04C1"/>
    <w:rsid w:val="00AA327B"/>
    <w:rsid w:val="00AB3223"/>
    <w:rsid w:val="00AB4356"/>
    <w:rsid w:val="00AB4D39"/>
    <w:rsid w:val="00AB6FD3"/>
    <w:rsid w:val="00AC1A85"/>
    <w:rsid w:val="00AC6B92"/>
    <w:rsid w:val="00AD0198"/>
    <w:rsid w:val="00AD2246"/>
    <w:rsid w:val="00AD63C6"/>
    <w:rsid w:val="00AD6E81"/>
    <w:rsid w:val="00AD7207"/>
    <w:rsid w:val="00AE06BD"/>
    <w:rsid w:val="00AE245D"/>
    <w:rsid w:val="00AE758E"/>
    <w:rsid w:val="00AE7C46"/>
    <w:rsid w:val="00AF1428"/>
    <w:rsid w:val="00AF393F"/>
    <w:rsid w:val="00AF572E"/>
    <w:rsid w:val="00B0057C"/>
    <w:rsid w:val="00B01992"/>
    <w:rsid w:val="00B01AFD"/>
    <w:rsid w:val="00B02BA8"/>
    <w:rsid w:val="00B0328E"/>
    <w:rsid w:val="00B04FD5"/>
    <w:rsid w:val="00B068E9"/>
    <w:rsid w:val="00B0724F"/>
    <w:rsid w:val="00B11031"/>
    <w:rsid w:val="00B12656"/>
    <w:rsid w:val="00B2123F"/>
    <w:rsid w:val="00B21322"/>
    <w:rsid w:val="00B225F6"/>
    <w:rsid w:val="00B257E5"/>
    <w:rsid w:val="00B31017"/>
    <w:rsid w:val="00B317CC"/>
    <w:rsid w:val="00B3256F"/>
    <w:rsid w:val="00B3296B"/>
    <w:rsid w:val="00B33EB3"/>
    <w:rsid w:val="00B34074"/>
    <w:rsid w:val="00B37939"/>
    <w:rsid w:val="00B37A74"/>
    <w:rsid w:val="00B41A4D"/>
    <w:rsid w:val="00B41AC6"/>
    <w:rsid w:val="00B44B1E"/>
    <w:rsid w:val="00B4631E"/>
    <w:rsid w:val="00B4651B"/>
    <w:rsid w:val="00B52666"/>
    <w:rsid w:val="00B549CB"/>
    <w:rsid w:val="00B60778"/>
    <w:rsid w:val="00B62942"/>
    <w:rsid w:val="00B630D4"/>
    <w:rsid w:val="00B63DC2"/>
    <w:rsid w:val="00B6497B"/>
    <w:rsid w:val="00B65EC9"/>
    <w:rsid w:val="00B67673"/>
    <w:rsid w:val="00B67732"/>
    <w:rsid w:val="00B67AEA"/>
    <w:rsid w:val="00B70D11"/>
    <w:rsid w:val="00B73003"/>
    <w:rsid w:val="00B7337D"/>
    <w:rsid w:val="00B739BC"/>
    <w:rsid w:val="00B75AA2"/>
    <w:rsid w:val="00B7745B"/>
    <w:rsid w:val="00B778E7"/>
    <w:rsid w:val="00B80D7E"/>
    <w:rsid w:val="00B81056"/>
    <w:rsid w:val="00B81442"/>
    <w:rsid w:val="00B834F7"/>
    <w:rsid w:val="00B8513F"/>
    <w:rsid w:val="00B87314"/>
    <w:rsid w:val="00B87C29"/>
    <w:rsid w:val="00B946AA"/>
    <w:rsid w:val="00B9794D"/>
    <w:rsid w:val="00BA4130"/>
    <w:rsid w:val="00BA52B2"/>
    <w:rsid w:val="00BA5EB3"/>
    <w:rsid w:val="00BA62C0"/>
    <w:rsid w:val="00BB06D9"/>
    <w:rsid w:val="00BB23E4"/>
    <w:rsid w:val="00BB2D7F"/>
    <w:rsid w:val="00BB3E8D"/>
    <w:rsid w:val="00BB3FD1"/>
    <w:rsid w:val="00BB405A"/>
    <w:rsid w:val="00BB78E0"/>
    <w:rsid w:val="00BB7FDF"/>
    <w:rsid w:val="00BC09AD"/>
    <w:rsid w:val="00BC5A4E"/>
    <w:rsid w:val="00BC6C08"/>
    <w:rsid w:val="00BC72EC"/>
    <w:rsid w:val="00BD070B"/>
    <w:rsid w:val="00BD1504"/>
    <w:rsid w:val="00BD34FE"/>
    <w:rsid w:val="00BD3B45"/>
    <w:rsid w:val="00BD4947"/>
    <w:rsid w:val="00BD4A3B"/>
    <w:rsid w:val="00BD6605"/>
    <w:rsid w:val="00BD670E"/>
    <w:rsid w:val="00BD68D5"/>
    <w:rsid w:val="00BD6CAF"/>
    <w:rsid w:val="00BE1888"/>
    <w:rsid w:val="00BE53E9"/>
    <w:rsid w:val="00BF528E"/>
    <w:rsid w:val="00C01DFE"/>
    <w:rsid w:val="00C02328"/>
    <w:rsid w:val="00C02B69"/>
    <w:rsid w:val="00C057A3"/>
    <w:rsid w:val="00C06B33"/>
    <w:rsid w:val="00C12B20"/>
    <w:rsid w:val="00C15909"/>
    <w:rsid w:val="00C15B8E"/>
    <w:rsid w:val="00C16903"/>
    <w:rsid w:val="00C22142"/>
    <w:rsid w:val="00C231E0"/>
    <w:rsid w:val="00C2371C"/>
    <w:rsid w:val="00C25F57"/>
    <w:rsid w:val="00C27455"/>
    <w:rsid w:val="00C320F6"/>
    <w:rsid w:val="00C34990"/>
    <w:rsid w:val="00C36F0D"/>
    <w:rsid w:val="00C37976"/>
    <w:rsid w:val="00C4114A"/>
    <w:rsid w:val="00C41EA0"/>
    <w:rsid w:val="00C43AA2"/>
    <w:rsid w:val="00C44603"/>
    <w:rsid w:val="00C44B01"/>
    <w:rsid w:val="00C47370"/>
    <w:rsid w:val="00C515E7"/>
    <w:rsid w:val="00C523A7"/>
    <w:rsid w:val="00C525E2"/>
    <w:rsid w:val="00C53692"/>
    <w:rsid w:val="00C55BD8"/>
    <w:rsid w:val="00C627E8"/>
    <w:rsid w:val="00C664AA"/>
    <w:rsid w:val="00C74056"/>
    <w:rsid w:val="00C759F8"/>
    <w:rsid w:val="00C75F2C"/>
    <w:rsid w:val="00C8071D"/>
    <w:rsid w:val="00C81DB8"/>
    <w:rsid w:val="00C83ABD"/>
    <w:rsid w:val="00C86D4E"/>
    <w:rsid w:val="00C87BB5"/>
    <w:rsid w:val="00C9132F"/>
    <w:rsid w:val="00CA1404"/>
    <w:rsid w:val="00CA3388"/>
    <w:rsid w:val="00CA6076"/>
    <w:rsid w:val="00CB133B"/>
    <w:rsid w:val="00CB13BE"/>
    <w:rsid w:val="00CB24B4"/>
    <w:rsid w:val="00CB26EA"/>
    <w:rsid w:val="00CB3266"/>
    <w:rsid w:val="00CB370E"/>
    <w:rsid w:val="00CB58F6"/>
    <w:rsid w:val="00CB60FB"/>
    <w:rsid w:val="00CB61D3"/>
    <w:rsid w:val="00CC3631"/>
    <w:rsid w:val="00CC3B74"/>
    <w:rsid w:val="00CC4465"/>
    <w:rsid w:val="00CD068E"/>
    <w:rsid w:val="00CD0FF6"/>
    <w:rsid w:val="00CD15A1"/>
    <w:rsid w:val="00CD59C2"/>
    <w:rsid w:val="00CD5B94"/>
    <w:rsid w:val="00CD61EC"/>
    <w:rsid w:val="00CE0CD6"/>
    <w:rsid w:val="00CE188A"/>
    <w:rsid w:val="00CE36E0"/>
    <w:rsid w:val="00CE6C47"/>
    <w:rsid w:val="00CF130B"/>
    <w:rsid w:val="00CF4D4F"/>
    <w:rsid w:val="00CF4F8C"/>
    <w:rsid w:val="00CF7C33"/>
    <w:rsid w:val="00D002F6"/>
    <w:rsid w:val="00D00554"/>
    <w:rsid w:val="00D02309"/>
    <w:rsid w:val="00D04D02"/>
    <w:rsid w:val="00D052A4"/>
    <w:rsid w:val="00D077B4"/>
    <w:rsid w:val="00D130F1"/>
    <w:rsid w:val="00D137EE"/>
    <w:rsid w:val="00D15586"/>
    <w:rsid w:val="00D15FE2"/>
    <w:rsid w:val="00D21671"/>
    <w:rsid w:val="00D238D4"/>
    <w:rsid w:val="00D23D68"/>
    <w:rsid w:val="00D24837"/>
    <w:rsid w:val="00D3196D"/>
    <w:rsid w:val="00D33B3D"/>
    <w:rsid w:val="00D440E2"/>
    <w:rsid w:val="00D458CD"/>
    <w:rsid w:val="00D4673E"/>
    <w:rsid w:val="00D5006F"/>
    <w:rsid w:val="00D5209D"/>
    <w:rsid w:val="00D54A20"/>
    <w:rsid w:val="00D558E2"/>
    <w:rsid w:val="00D6128C"/>
    <w:rsid w:val="00D67A5E"/>
    <w:rsid w:val="00D70B8D"/>
    <w:rsid w:val="00D70EDA"/>
    <w:rsid w:val="00D7102D"/>
    <w:rsid w:val="00D73756"/>
    <w:rsid w:val="00D74B5C"/>
    <w:rsid w:val="00D74E29"/>
    <w:rsid w:val="00D7568C"/>
    <w:rsid w:val="00D7580C"/>
    <w:rsid w:val="00D76C7A"/>
    <w:rsid w:val="00D80A38"/>
    <w:rsid w:val="00D80CAE"/>
    <w:rsid w:val="00D826C5"/>
    <w:rsid w:val="00D83690"/>
    <w:rsid w:val="00D85513"/>
    <w:rsid w:val="00D8786C"/>
    <w:rsid w:val="00D87BDB"/>
    <w:rsid w:val="00D964AD"/>
    <w:rsid w:val="00D972D1"/>
    <w:rsid w:val="00D97A3C"/>
    <w:rsid w:val="00DA2880"/>
    <w:rsid w:val="00DA4E3D"/>
    <w:rsid w:val="00DA5305"/>
    <w:rsid w:val="00DA58F5"/>
    <w:rsid w:val="00DA6707"/>
    <w:rsid w:val="00DB02CF"/>
    <w:rsid w:val="00DB08F1"/>
    <w:rsid w:val="00DB33AE"/>
    <w:rsid w:val="00DB34B5"/>
    <w:rsid w:val="00DB3F71"/>
    <w:rsid w:val="00DB5F1B"/>
    <w:rsid w:val="00DB6083"/>
    <w:rsid w:val="00DC03D6"/>
    <w:rsid w:val="00DC088E"/>
    <w:rsid w:val="00DC0BBB"/>
    <w:rsid w:val="00DC1981"/>
    <w:rsid w:val="00DC1F76"/>
    <w:rsid w:val="00DC20BC"/>
    <w:rsid w:val="00DD1088"/>
    <w:rsid w:val="00DD4BFD"/>
    <w:rsid w:val="00DD4E1F"/>
    <w:rsid w:val="00DD6269"/>
    <w:rsid w:val="00DE077C"/>
    <w:rsid w:val="00DE1CD1"/>
    <w:rsid w:val="00DE22E8"/>
    <w:rsid w:val="00DE3D96"/>
    <w:rsid w:val="00DE55BF"/>
    <w:rsid w:val="00DE6113"/>
    <w:rsid w:val="00DE64C3"/>
    <w:rsid w:val="00DE698B"/>
    <w:rsid w:val="00DE781D"/>
    <w:rsid w:val="00DF774E"/>
    <w:rsid w:val="00E00599"/>
    <w:rsid w:val="00E00CF6"/>
    <w:rsid w:val="00E0141C"/>
    <w:rsid w:val="00E0293E"/>
    <w:rsid w:val="00E04379"/>
    <w:rsid w:val="00E070EF"/>
    <w:rsid w:val="00E112C5"/>
    <w:rsid w:val="00E12D4C"/>
    <w:rsid w:val="00E140E2"/>
    <w:rsid w:val="00E17572"/>
    <w:rsid w:val="00E2478E"/>
    <w:rsid w:val="00E26054"/>
    <w:rsid w:val="00E30BA9"/>
    <w:rsid w:val="00E316E4"/>
    <w:rsid w:val="00E31B4F"/>
    <w:rsid w:val="00E32310"/>
    <w:rsid w:val="00E33F88"/>
    <w:rsid w:val="00E365D2"/>
    <w:rsid w:val="00E40953"/>
    <w:rsid w:val="00E410B4"/>
    <w:rsid w:val="00E41915"/>
    <w:rsid w:val="00E421B2"/>
    <w:rsid w:val="00E43F7B"/>
    <w:rsid w:val="00E44B75"/>
    <w:rsid w:val="00E45139"/>
    <w:rsid w:val="00E503AD"/>
    <w:rsid w:val="00E50A8F"/>
    <w:rsid w:val="00E52AF9"/>
    <w:rsid w:val="00E53D57"/>
    <w:rsid w:val="00E54275"/>
    <w:rsid w:val="00E543E1"/>
    <w:rsid w:val="00E544E0"/>
    <w:rsid w:val="00E55B52"/>
    <w:rsid w:val="00E60C6C"/>
    <w:rsid w:val="00E60FF0"/>
    <w:rsid w:val="00E6105F"/>
    <w:rsid w:val="00E61525"/>
    <w:rsid w:val="00E61DBB"/>
    <w:rsid w:val="00E6297B"/>
    <w:rsid w:val="00E63999"/>
    <w:rsid w:val="00E64189"/>
    <w:rsid w:val="00E645FB"/>
    <w:rsid w:val="00E66165"/>
    <w:rsid w:val="00E662A3"/>
    <w:rsid w:val="00E738E4"/>
    <w:rsid w:val="00E7625B"/>
    <w:rsid w:val="00E777CE"/>
    <w:rsid w:val="00E77BBB"/>
    <w:rsid w:val="00E82432"/>
    <w:rsid w:val="00E856F2"/>
    <w:rsid w:val="00E87B47"/>
    <w:rsid w:val="00E94FF8"/>
    <w:rsid w:val="00EA014E"/>
    <w:rsid w:val="00EA0259"/>
    <w:rsid w:val="00EA1998"/>
    <w:rsid w:val="00EA271B"/>
    <w:rsid w:val="00EA2D8B"/>
    <w:rsid w:val="00EA4393"/>
    <w:rsid w:val="00EA58AA"/>
    <w:rsid w:val="00EA67B3"/>
    <w:rsid w:val="00EB0EF2"/>
    <w:rsid w:val="00EB61B8"/>
    <w:rsid w:val="00EB7A28"/>
    <w:rsid w:val="00EC0347"/>
    <w:rsid w:val="00EC516E"/>
    <w:rsid w:val="00EC5B1C"/>
    <w:rsid w:val="00EC5C7D"/>
    <w:rsid w:val="00ED1EAC"/>
    <w:rsid w:val="00ED41AE"/>
    <w:rsid w:val="00ED60EC"/>
    <w:rsid w:val="00ED6983"/>
    <w:rsid w:val="00ED6B8B"/>
    <w:rsid w:val="00EE1080"/>
    <w:rsid w:val="00EE1C0D"/>
    <w:rsid w:val="00EE3F63"/>
    <w:rsid w:val="00EE5DB0"/>
    <w:rsid w:val="00EF0858"/>
    <w:rsid w:val="00EF12DD"/>
    <w:rsid w:val="00EF13E4"/>
    <w:rsid w:val="00EF2FAB"/>
    <w:rsid w:val="00EF308D"/>
    <w:rsid w:val="00EF3C37"/>
    <w:rsid w:val="00F045F8"/>
    <w:rsid w:val="00F12559"/>
    <w:rsid w:val="00F15089"/>
    <w:rsid w:val="00F16887"/>
    <w:rsid w:val="00F1757B"/>
    <w:rsid w:val="00F2021C"/>
    <w:rsid w:val="00F21AEA"/>
    <w:rsid w:val="00F22F33"/>
    <w:rsid w:val="00F24771"/>
    <w:rsid w:val="00F25656"/>
    <w:rsid w:val="00F26C5D"/>
    <w:rsid w:val="00F31790"/>
    <w:rsid w:val="00F343C0"/>
    <w:rsid w:val="00F35B93"/>
    <w:rsid w:val="00F422A6"/>
    <w:rsid w:val="00F4367A"/>
    <w:rsid w:val="00F45719"/>
    <w:rsid w:val="00F47FCA"/>
    <w:rsid w:val="00F55B07"/>
    <w:rsid w:val="00F56E6F"/>
    <w:rsid w:val="00F60049"/>
    <w:rsid w:val="00F646F3"/>
    <w:rsid w:val="00F704D1"/>
    <w:rsid w:val="00F70B8B"/>
    <w:rsid w:val="00F72BD4"/>
    <w:rsid w:val="00F72DC6"/>
    <w:rsid w:val="00F73B56"/>
    <w:rsid w:val="00F75259"/>
    <w:rsid w:val="00F75EE5"/>
    <w:rsid w:val="00F807E0"/>
    <w:rsid w:val="00F80EB4"/>
    <w:rsid w:val="00F819F3"/>
    <w:rsid w:val="00F83712"/>
    <w:rsid w:val="00F83A7B"/>
    <w:rsid w:val="00F870C3"/>
    <w:rsid w:val="00F90752"/>
    <w:rsid w:val="00F93E57"/>
    <w:rsid w:val="00F944A6"/>
    <w:rsid w:val="00F94A30"/>
    <w:rsid w:val="00F96611"/>
    <w:rsid w:val="00F96EBE"/>
    <w:rsid w:val="00F9798A"/>
    <w:rsid w:val="00FA0328"/>
    <w:rsid w:val="00FA085E"/>
    <w:rsid w:val="00FA3257"/>
    <w:rsid w:val="00FA536F"/>
    <w:rsid w:val="00FA5A8E"/>
    <w:rsid w:val="00FA630A"/>
    <w:rsid w:val="00FA692A"/>
    <w:rsid w:val="00FB11D8"/>
    <w:rsid w:val="00FB301C"/>
    <w:rsid w:val="00FB34F4"/>
    <w:rsid w:val="00FB3BF0"/>
    <w:rsid w:val="00FB7BC6"/>
    <w:rsid w:val="00FC48E1"/>
    <w:rsid w:val="00FC6429"/>
    <w:rsid w:val="00FD50FA"/>
    <w:rsid w:val="00FE0469"/>
    <w:rsid w:val="00FE2990"/>
    <w:rsid w:val="00FE4DBB"/>
    <w:rsid w:val="00FE573E"/>
    <w:rsid w:val="00FE5B8F"/>
    <w:rsid w:val="00FE61EE"/>
    <w:rsid w:val="00FF01BA"/>
    <w:rsid w:val="00FF2846"/>
    <w:rsid w:val="00FF451C"/>
    <w:rsid w:val="00FF6DFB"/>
    <w:rsid w:val="00FF7708"/>
    <w:rsid w:val="00FF7A2C"/>
    <w:rsid w:val="00FF7F33"/>
    <w:rsid w:val="00FF7FBD"/>
    <w:rsid w:val="01630F53"/>
    <w:rsid w:val="082548CE"/>
    <w:rsid w:val="0C474F6E"/>
    <w:rsid w:val="108904B2"/>
    <w:rsid w:val="11D44CD5"/>
    <w:rsid w:val="18830377"/>
    <w:rsid w:val="195427F4"/>
    <w:rsid w:val="1A2A62D9"/>
    <w:rsid w:val="1D3764AF"/>
    <w:rsid w:val="24843CB0"/>
    <w:rsid w:val="24863878"/>
    <w:rsid w:val="2A444B66"/>
    <w:rsid w:val="2D173B83"/>
    <w:rsid w:val="2D183AD5"/>
    <w:rsid w:val="300540D1"/>
    <w:rsid w:val="38FD3CCF"/>
    <w:rsid w:val="3D2F036D"/>
    <w:rsid w:val="3D7C4BA1"/>
    <w:rsid w:val="3FD71DB5"/>
    <w:rsid w:val="41B24A2D"/>
    <w:rsid w:val="48AD604A"/>
    <w:rsid w:val="4ED85BEA"/>
    <w:rsid w:val="52B93AF8"/>
    <w:rsid w:val="626531BF"/>
    <w:rsid w:val="63EA7A59"/>
    <w:rsid w:val="67EC408F"/>
    <w:rsid w:val="6B1D0C94"/>
    <w:rsid w:val="700E0D74"/>
    <w:rsid w:val="724A207D"/>
    <w:rsid w:val="75D23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1"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楷体" w:cs="Times New Roman"/>
      <w:kern w:val="2"/>
      <w:sz w:val="28"/>
      <w:szCs w:val="24"/>
      <w:lang w:val="en-US" w:eastAsia="zh-CN" w:bidi="ar-SA"/>
    </w:rPr>
  </w:style>
  <w:style w:type="paragraph" w:styleId="2">
    <w:name w:val="heading 1"/>
    <w:basedOn w:val="1"/>
    <w:next w:val="1"/>
    <w:link w:val="36"/>
    <w:qFormat/>
    <w:uiPriority w:val="0"/>
    <w:pPr>
      <w:keepNext/>
      <w:keepLines/>
      <w:outlineLvl w:val="0"/>
    </w:pPr>
    <w:rPr>
      <w:rFonts w:eastAsia="黑体"/>
      <w:b/>
      <w:bCs/>
      <w:kern w:val="44"/>
      <w:sz w:val="32"/>
      <w:szCs w:val="44"/>
    </w:rPr>
  </w:style>
  <w:style w:type="paragraph" w:styleId="3">
    <w:name w:val="heading 2"/>
    <w:basedOn w:val="1"/>
    <w:next w:val="1"/>
    <w:link w:val="58"/>
    <w:unhideWhenUsed/>
    <w:qFormat/>
    <w:uiPriority w:val="0"/>
    <w:pPr>
      <w:keepNext/>
      <w:keepLines/>
      <w:ind w:firstLine="100" w:firstLineChars="100"/>
      <w:outlineLvl w:val="1"/>
    </w:pPr>
    <w:rPr>
      <w:rFonts w:ascii="Arial" w:hAnsi="Arial" w:eastAsia="仿宋_GB2312"/>
      <w:b/>
      <w:bCs/>
      <w:sz w:val="32"/>
    </w:rPr>
  </w:style>
  <w:style w:type="paragraph" w:styleId="4">
    <w:name w:val="heading 3"/>
    <w:basedOn w:val="5"/>
    <w:next w:val="1"/>
    <w:link w:val="48"/>
    <w:unhideWhenUsed/>
    <w:qFormat/>
    <w:uiPriority w:val="0"/>
    <w:pPr>
      <w:ind w:firstLine="602"/>
      <w:outlineLvl w:val="2"/>
    </w:pPr>
    <w:rPr>
      <w:rFonts w:ascii="仿宋_GB2312"/>
      <w:b/>
      <w:bCs/>
      <w:sz w:val="30"/>
      <w:szCs w:val="30"/>
    </w:rPr>
  </w:style>
  <w:style w:type="paragraph" w:styleId="6">
    <w:name w:val="heading 4"/>
    <w:basedOn w:val="1"/>
    <w:next w:val="1"/>
    <w:link w:val="52"/>
    <w:unhideWhenUsed/>
    <w:qFormat/>
    <w:uiPriority w:val="1"/>
    <w:pPr>
      <w:keepNext/>
      <w:keepLines/>
      <w:ind w:firstLine="200" w:firstLineChars="200"/>
      <w:outlineLvl w:val="3"/>
    </w:pPr>
    <w:rPr>
      <w:rFonts w:ascii="黑体" w:hAnsi="黑体" w:eastAsia="黑体"/>
      <w:b/>
      <w:sz w:val="24"/>
    </w:rPr>
  </w:style>
  <w:style w:type="paragraph" w:styleId="7">
    <w:name w:val="heading 5"/>
    <w:basedOn w:val="1"/>
    <w:next w:val="1"/>
    <w:link w:val="59"/>
    <w:unhideWhenUsed/>
    <w:qFormat/>
    <w:uiPriority w:val="0"/>
    <w:pPr>
      <w:keepNext/>
      <w:keepLines/>
      <w:ind w:firstLine="200" w:firstLineChars="200"/>
      <w:outlineLvl w:val="4"/>
    </w:pPr>
    <w:rPr>
      <w:rFonts w:eastAsia="黑体"/>
      <w:sz w:val="24"/>
    </w:rPr>
  </w:style>
  <w:style w:type="paragraph" w:styleId="8">
    <w:name w:val="heading 6"/>
    <w:basedOn w:val="1"/>
    <w:next w:val="1"/>
    <w:link w:val="42"/>
    <w:unhideWhenUsed/>
    <w:qFormat/>
    <w:uiPriority w:val="0"/>
    <w:pPr>
      <w:keepNext/>
      <w:keepLines/>
      <w:numPr>
        <w:ilvl w:val="5"/>
        <w:numId w:val="1"/>
      </w:numPr>
      <w:outlineLvl w:val="5"/>
    </w:pPr>
    <w:rPr>
      <w:rFonts w:ascii="宋体" w:hAnsi="宋体" w:eastAsia="宋体"/>
      <w:sz w:val="24"/>
    </w:rPr>
  </w:style>
  <w:style w:type="paragraph" w:styleId="9">
    <w:name w:val="heading 7"/>
    <w:basedOn w:val="1"/>
    <w:next w:val="1"/>
    <w:link w:val="43"/>
    <w:unhideWhenUsed/>
    <w:qFormat/>
    <w:uiPriority w:val="0"/>
    <w:pPr>
      <w:keepNext/>
      <w:keepLines/>
      <w:numPr>
        <w:ilvl w:val="6"/>
        <w:numId w:val="1"/>
      </w:numPr>
      <w:outlineLvl w:val="6"/>
    </w:pPr>
    <w:rPr>
      <w:rFonts w:ascii="宋体" w:hAnsi="宋体" w:eastAsia="宋体"/>
      <w:sz w:val="24"/>
    </w:rPr>
  </w:style>
  <w:style w:type="paragraph" w:styleId="10">
    <w:name w:val="heading 8"/>
    <w:basedOn w:val="1"/>
    <w:next w:val="1"/>
    <w:link w:val="44"/>
    <w:semiHidden/>
    <w:unhideWhenUsed/>
    <w:qFormat/>
    <w:uiPriority w:val="0"/>
    <w:pPr>
      <w:keepNext/>
      <w:keepLines/>
      <w:numPr>
        <w:ilvl w:val="7"/>
        <w:numId w:val="1"/>
      </w:numPr>
      <w:spacing w:before="240" w:after="64" w:line="320" w:lineRule="auto"/>
      <w:outlineLvl w:val="7"/>
    </w:pPr>
    <w:rPr>
      <w:rFonts w:ascii="Calibri Light" w:hAnsi="Calibri Light" w:eastAsia="宋体"/>
      <w:sz w:val="24"/>
    </w:rPr>
  </w:style>
  <w:style w:type="paragraph" w:styleId="11">
    <w:name w:val="heading 9"/>
    <w:basedOn w:val="1"/>
    <w:next w:val="1"/>
    <w:link w:val="45"/>
    <w:semiHidden/>
    <w:unhideWhenUsed/>
    <w:qFormat/>
    <w:uiPriority w:val="0"/>
    <w:pPr>
      <w:keepNext/>
      <w:keepLines/>
      <w:numPr>
        <w:ilvl w:val="8"/>
        <w:numId w:val="1"/>
      </w:numPr>
      <w:spacing w:before="240" w:after="64" w:line="320" w:lineRule="auto"/>
      <w:outlineLvl w:val="8"/>
    </w:pPr>
    <w:rPr>
      <w:rFonts w:ascii="Calibri Light" w:hAnsi="Calibri Light" w:eastAsia="宋体"/>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5">
    <w:name w:val="文件正文"/>
    <w:basedOn w:val="1"/>
    <w:qFormat/>
    <w:uiPriority w:val="0"/>
    <w:pPr>
      <w:ind w:firstLine="200" w:firstLineChars="200"/>
    </w:pPr>
    <w:rPr>
      <w:rFonts w:ascii="宋体" w:hAnsi="宋体" w:eastAsia="仿宋_GB2312" w:cs="Calibri"/>
    </w:rPr>
  </w:style>
  <w:style w:type="paragraph" w:styleId="12">
    <w:name w:val="toc 7"/>
    <w:basedOn w:val="1"/>
    <w:next w:val="1"/>
    <w:unhideWhenUsed/>
    <w:qFormat/>
    <w:uiPriority w:val="39"/>
    <w:pPr>
      <w:spacing w:line="240" w:lineRule="auto"/>
      <w:ind w:left="2520" w:leftChars="1200"/>
    </w:pPr>
    <w:rPr>
      <w:rFonts w:eastAsia="宋体"/>
      <w:sz w:val="21"/>
      <w:szCs w:val="22"/>
    </w:rPr>
  </w:style>
  <w:style w:type="paragraph" w:styleId="13">
    <w:name w:val="Normal Indent"/>
    <w:basedOn w:val="1"/>
    <w:unhideWhenUsed/>
    <w:qFormat/>
    <w:uiPriority w:val="0"/>
    <w:pPr>
      <w:autoSpaceDE w:val="0"/>
      <w:autoSpaceDN w:val="0"/>
      <w:ind w:firstLine="420" w:firstLineChars="200"/>
    </w:pPr>
    <w:rPr>
      <w:rFonts w:ascii="宋体" w:hAnsi="宋体" w:eastAsia="宋体" w:cs="宋体"/>
      <w:kern w:val="0"/>
      <w:sz w:val="24"/>
      <w:szCs w:val="22"/>
      <w:lang w:val="zh-CN" w:bidi="zh-CN"/>
    </w:rPr>
  </w:style>
  <w:style w:type="paragraph" w:styleId="14">
    <w:name w:val="annotation text"/>
    <w:basedOn w:val="1"/>
    <w:link w:val="49"/>
    <w:qFormat/>
    <w:uiPriority w:val="0"/>
    <w:pPr>
      <w:spacing w:line="240" w:lineRule="auto"/>
      <w:jc w:val="left"/>
    </w:pPr>
    <w:rPr>
      <w:rFonts w:eastAsia="宋体"/>
      <w:sz w:val="21"/>
    </w:rPr>
  </w:style>
  <w:style w:type="paragraph" w:styleId="15">
    <w:name w:val="index 6"/>
    <w:basedOn w:val="1"/>
    <w:next w:val="1"/>
    <w:qFormat/>
    <w:uiPriority w:val="0"/>
    <w:pPr>
      <w:spacing w:line="240" w:lineRule="auto"/>
      <w:ind w:left="1000" w:leftChars="1000"/>
    </w:pPr>
    <w:rPr>
      <w:rFonts w:eastAsia="宋体"/>
      <w:sz w:val="21"/>
    </w:rPr>
  </w:style>
  <w:style w:type="paragraph" w:styleId="16">
    <w:name w:val="Body Text"/>
    <w:basedOn w:val="1"/>
    <w:link w:val="57"/>
    <w:qFormat/>
    <w:uiPriority w:val="0"/>
    <w:pPr>
      <w:spacing w:after="120"/>
    </w:pPr>
  </w:style>
  <w:style w:type="paragraph" w:styleId="17">
    <w:name w:val="Body Text Indent"/>
    <w:basedOn w:val="1"/>
    <w:link w:val="40"/>
    <w:qFormat/>
    <w:uiPriority w:val="0"/>
    <w:pPr>
      <w:spacing w:after="120"/>
      <w:ind w:left="420" w:leftChars="200"/>
    </w:pPr>
  </w:style>
  <w:style w:type="paragraph" w:styleId="18">
    <w:name w:val="toc 5"/>
    <w:basedOn w:val="1"/>
    <w:next w:val="1"/>
    <w:unhideWhenUsed/>
    <w:qFormat/>
    <w:uiPriority w:val="39"/>
    <w:pPr>
      <w:spacing w:line="240" w:lineRule="auto"/>
      <w:ind w:left="1680" w:leftChars="800"/>
    </w:pPr>
    <w:rPr>
      <w:rFonts w:eastAsia="宋体"/>
      <w:sz w:val="21"/>
      <w:szCs w:val="22"/>
    </w:rPr>
  </w:style>
  <w:style w:type="paragraph" w:styleId="19">
    <w:name w:val="toc 3"/>
    <w:basedOn w:val="1"/>
    <w:next w:val="1"/>
    <w:qFormat/>
    <w:uiPriority w:val="39"/>
    <w:pPr>
      <w:tabs>
        <w:tab w:val="left" w:pos="1680"/>
        <w:tab w:val="right" w:leader="dot" w:pos="8296"/>
      </w:tabs>
      <w:ind w:left="560" w:leftChars="200"/>
    </w:pPr>
  </w:style>
  <w:style w:type="paragraph" w:styleId="20">
    <w:name w:val="toc 8"/>
    <w:basedOn w:val="1"/>
    <w:next w:val="1"/>
    <w:unhideWhenUsed/>
    <w:qFormat/>
    <w:uiPriority w:val="39"/>
    <w:pPr>
      <w:spacing w:line="240" w:lineRule="auto"/>
      <w:ind w:left="2940" w:leftChars="1400"/>
    </w:pPr>
    <w:rPr>
      <w:rFonts w:eastAsia="宋体"/>
      <w:sz w:val="21"/>
      <w:szCs w:val="22"/>
    </w:rPr>
  </w:style>
  <w:style w:type="paragraph" w:styleId="21">
    <w:name w:val="footer"/>
    <w:basedOn w:val="1"/>
    <w:link w:val="39"/>
    <w:qFormat/>
    <w:uiPriority w:val="99"/>
    <w:pPr>
      <w:tabs>
        <w:tab w:val="center" w:pos="4153"/>
        <w:tab w:val="right" w:pos="8306"/>
      </w:tabs>
      <w:snapToGrid w:val="0"/>
      <w:jc w:val="left"/>
    </w:pPr>
    <w:rPr>
      <w:sz w:val="18"/>
    </w:rPr>
  </w:style>
  <w:style w:type="paragraph" w:styleId="22">
    <w:name w:val="header"/>
    <w:basedOn w:val="1"/>
    <w:link w:val="5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3">
    <w:name w:val="toc 1"/>
    <w:basedOn w:val="1"/>
    <w:next w:val="1"/>
    <w:qFormat/>
    <w:uiPriority w:val="39"/>
    <w:pPr>
      <w:tabs>
        <w:tab w:val="right" w:leader="dot" w:pos="8296"/>
      </w:tabs>
      <w:ind w:left="280" w:leftChars="100"/>
    </w:pPr>
    <w:rPr>
      <w:rFonts w:ascii="宋体" w:hAnsi="宋体" w:eastAsia="宋体"/>
      <w:szCs w:val="28"/>
    </w:rPr>
  </w:style>
  <w:style w:type="paragraph" w:styleId="24">
    <w:name w:val="toc 4"/>
    <w:basedOn w:val="1"/>
    <w:next w:val="1"/>
    <w:unhideWhenUsed/>
    <w:qFormat/>
    <w:uiPriority w:val="39"/>
    <w:pPr>
      <w:spacing w:line="240" w:lineRule="auto"/>
      <w:ind w:left="1260" w:leftChars="600"/>
    </w:pPr>
    <w:rPr>
      <w:rFonts w:eastAsia="宋体"/>
      <w:sz w:val="21"/>
      <w:szCs w:val="22"/>
    </w:rPr>
  </w:style>
  <w:style w:type="paragraph" w:styleId="25">
    <w:name w:val="List"/>
    <w:basedOn w:val="1"/>
    <w:qFormat/>
    <w:uiPriority w:val="0"/>
    <w:pPr>
      <w:ind w:left="200" w:hanging="200" w:hangingChars="200"/>
    </w:pPr>
  </w:style>
  <w:style w:type="paragraph" w:styleId="26">
    <w:name w:val="toc 6"/>
    <w:basedOn w:val="1"/>
    <w:next w:val="1"/>
    <w:unhideWhenUsed/>
    <w:qFormat/>
    <w:uiPriority w:val="39"/>
    <w:pPr>
      <w:spacing w:line="240" w:lineRule="auto"/>
      <w:ind w:left="2100" w:leftChars="1000"/>
    </w:pPr>
    <w:rPr>
      <w:rFonts w:eastAsia="宋体"/>
      <w:sz w:val="21"/>
      <w:szCs w:val="22"/>
    </w:rPr>
  </w:style>
  <w:style w:type="paragraph" w:styleId="27">
    <w:name w:val="toc 2"/>
    <w:basedOn w:val="1"/>
    <w:next w:val="1"/>
    <w:qFormat/>
    <w:uiPriority w:val="39"/>
    <w:pPr>
      <w:tabs>
        <w:tab w:val="left" w:pos="1050"/>
        <w:tab w:val="right" w:leader="dot" w:pos="8296"/>
      </w:tabs>
      <w:ind w:left="560" w:leftChars="200"/>
    </w:pPr>
  </w:style>
  <w:style w:type="paragraph" w:styleId="28">
    <w:name w:val="toc 9"/>
    <w:basedOn w:val="1"/>
    <w:next w:val="1"/>
    <w:unhideWhenUsed/>
    <w:qFormat/>
    <w:uiPriority w:val="39"/>
    <w:pPr>
      <w:spacing w:line="240" w:lineRule="auto"/>
      <w:ind w:left="3360" w:leftChars="1600"/>
    </w:pPr>
    <w:rPr>
      <w:rFonts w:eastAsia="宋体"/>
      <w:sz w:val="21"/>
      <w:szCs w:val="22"/>
    </w:rPr>
  </w:style>
  <w:style w:type="paragraph" w:styleId="29">
    <w:name w:val="Normal (Web)"/>
    <w:basedOn w:val="1"/>
    <w:qFormat/>
    <w:uiPriority w:val="99"/>
    <w:pPr>
      <w:widowControl/>
      <w:numPr>
        <w:ilvl w:val="0"/>
        <w:numId w:val="2"/>
      </w:numPr>
      <w:ind w:left="0" w:firstLine="480" w:firstLineChars="200"/>
    </w:pPr>
    <w:rPr>
      <w:rFonts w:ascii="宋体" w:hAnsi="宋体" w:eastAsia="宋体"/>
      <w:kern w:val="0"/>
      <w:sz w:val="24"/>
    </w:rPr>
  </w:style>
  <w:style w:type="paragraph" w:styleId="30">
    <w:name w:val="Body Text First Indent 2"/>
    <w:basedOn w:val="17"/>
    <w:link w:val="41"/>
    <w:unhideWhenUsed/>
    <w:qFormat/>
    <w:uiPriority w:val="0"/>
    <w:pPr>
      <w:spacing w:after="0" w:line="240" w:lineRule="auto"/>
      <w:ind w:left="0" w:leftChars="0"/>
      <w:jc w:val="left"/>
    </w:pPr>
    <w:rPr>
      <w:rFonts w:ascii="宋体" w:hAnsi="宋体" w:eastAsia="宋体"/>
      <w:sz w:val="24"/>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rPr>
  </w:style>
  <w:style w:type="character" w:styleId="35">
    <w:name w:val="Hyperlink"/>
    <w:qFormat/>
    <w:uiPriority w:val="99"/>
    <w:rPr>
      <w:color w:val="0026E5"/>
      <w:u w:val="single"/>
    </w:rPr>
  </w:style>
  <w:style w:type="character" w:customStyle="1" w:styleId="36">
    <w:name w:val="标题 1 字符"/>
    <w:link w:val="2"/>
    <w:qFormat/>
    <w:uiPriority w:val="0"/>
    <w:rPr>
      <w:rFonts w:eastAsia="黑体"/>
      <w:b/>
      <w:bCs/>
      <w:kern w:val="44"/>
      <w:sz w:val="32"/>
      <w:szCs w:val="44"/>
    </w:rPr>
  </w:style>
  <w:style w:type="paragraph" w:customStyle="1" w:styleId="37">
    <w:name w:val="正文2缩"/>
    <w:basedOn w:val="1"/>
    <w:qFormat/>
    <w:uiPriority w:val="0"/>
    <w:pPr>
      <w:ind w:firstLine="572" w:firstLineChars="200"/>
      <w:jc w:val="left"/>
    </w:pPr>
  </w:style>
  <w:style w:type="paragraph" w:customStyle="1" w:styleId="38">
    <w:name w:val="表格文字"/>
    <w:basedOn w:val="1"/>
    <w:qFormat/>
    <w:uiPriority w:val="0"/>
    <w:pPr>
      <w:spacing w:line="400" w:lineRule="exact"/>
    </w:pPr>
    <w:rPr>
      <w:rFonts w:hint="eastAsia"/>
      <w:sz w:val="24"/>
    </w:rPr>
  </w:style>
  <w:style w:type="character" w:customStyle="1" w:styleId="39">
    <w:name w:val="页脚 字符"/>
    <w:link w:val="21"/>
    <w:qFormat/>
    <w:uiPriority w:val="99"/>
    <w:rPr>
      <w:rFonts w:ascii="Calibri" w:hAnsi="Calibri" w:eastAsia="楷体" w:cs="Times New Roman"/>
      <w:kern w:val="2"/>
      <w:sz w:val="18"/>
      <w:szCs w:val="24"/>
    </w:rPr>
  </w:style>
  <w:style w:type="character" w:customStyle="1" w:styleId="40">
    <w:name w:val="正文文本缩进 字符"/>
    <w:link w:val="17"/>
    <w:qFormat/>
    <w:uiPriority w:val="0"/>
    <w:rPr>
      <w:rFonts w:ascii="Calibri" w:hAnsi="Calibri" w:eastAsia="楷体" w:cs="Times New Roman"/>
      <w:kern w:val="2"/>
      <w:sz w:val="28"/>
      <w:szCs w:val="24"/>
    </w:rPr>
  </w:style>
  <w:style w:type="character" w:customStyle="1" w:styleId="41">
    <w:name w:val="正文文本首行缩进 2 字符"/>
    <w:link w:val="30"/>
    <w:qFormat/>
    <w:uiPriority w:val="0"/>
    <w:rPr>
      <w:rFonts w:ascii="宋体" w:hAnsi="宋体"/>
      <w:kern w:val="2"/>
      <w:sz w:val="24"/>
      <w:szCs w:val="24"/>
    </w:rPr>
  </w:style>
  <w:style w:type="character" w:customStyle="1" w:styleId="42">
    <w:name w:val="标题 6 字符"/>
    <w:link w:val="8"/>
    <w:qFormat/>
    <w:uiPriority w:val="0"/>
    <w:rPr>
      <w:rFonts w:ascii="宋体" w:hAnsi="宋体"/>
      <w:kern w:val="2"/>
      <w:sz w:val="24"/>
      <w:szCs w:val="24"/>
    </w:rPr>
  </w:style>
  <w:style w:type="character" w:customStyle="1" w:styleId="43">
    <w:name w:val="标题 7 字符"/>
    <w:link w:val="9"/>
    <w:qFormat/>
    <w:uiPriority w:val="0"/>
    <w:rPr>
      <w:rFonts w:ascii="宋体" w:hAnsi="宋体"/>
      <w:kern w:val="2"/>
      <w:sz w:val="24"/>
      <w:szCs w:val="24"/>
    </w:rPr>
  </w:style>
  <w:style w:type="character" w:customStyle="1" w:styleId="44">
    <w:name w:val="标题 8 字符"/>
    <w:link w:val="10"/>
    <w:semiHidden/>
    <w:qFormat/>
    <w:uiPriority w:val="0"/>
    <w:rPr>
      <w:rFonts w:ascii="Calibri Light" w:hAnsi="Calibri Light"/>
      <w:kern w:val="2"/>
      <w:sz w:val="24"/>
      <w:szCs w:val="24"/>
    </w:rPr>
  </w:style>
  <w:style w:type="character" w:customStyle="1" w:styleId="45">
    <w:name w:val="标题 9 字符"/>
    <w:link w:val="11"/>
    <w:semiHidden/>
    <w:qFormat/>
    <w:uiPriority w:val="0"/>
    <w:rPr>
      <w:rFonts w:ascii="Calibri Light" w:hAnsi="Calibri Light"/>
      <w:kern w:val="2"/>
      <w:sz w:val="21"/>
      <w:szCs w:val="21"/>
    </w:rPr>
  </w:style>
  <w:style w:type="paragraph" w:styleId="46">
    <w:name w:val="List Paragraph"/>
    <w:basedOn w:val="1"/>
    <w:link w:val="54"/>
    <w:unhideWhenUsed/>
    <w:qFormat/>
    <w:uiPriority w:val="34"/>
    <w:pPr>
      <w:ind w:firstLine="420" w:firstLineChars="200"/>
    </w:pPr>
  </w:style>
  <w:style w:type="character" w:customStyle="1" w:styleId="47">
    <w:name w:val="Unresolved Mention"/>
    <w:semiHidden/>
    <w:unhideWhenUsed/>
    <w:qFormat/>
    <w:uiPriority w:val="99"/>
    <w:rPr>
      <w:color w:val="605E5C"/>
      <w:shd w:val="clear" w:color="auto" w:fill="E1DFDD"/>
    </w:rPr>
  </w:style>
  <w:style w:type="character" w:customStyle="1" w:styleId="48">
    <w:name w:val="标题 3 字符"/>
    <w:link w:val="4"/>
    <w:qFormat/>
    <w:uiPriority w:val="0"/>
    <w:rPr>
      <w:rFonts w:ascii="仿宋_GB2312" w:hAnsi="宋体" w:eastAsia="仿宋_GB2312" w:cs="Calibri"/>
      <w:b/>
      <w:bCs/>
      <w:kern w:val="2"/>
      <w:sz w:val="30"/>
      <w:szCs w:val="30"/>
    </w:rPr>
  </w:style>
  <w:style w:type="character" w:customStyle="1" w:styleId="49">
    <w:name w:val="批注文字 字符"/>
    <w:link w:val="14"/>
    <w:qFormat/>
    <w:uiPriority w:val="0"/>
    <w:rPr>
      <w:kern w:val="2"/>
      <w:sz w:val="21"/>
      <w:szCs w:val="24"/>
    </w:rPr>
  </w:style>
  <w:style w:type="paragraph" w:customStyle="1" w:styleId="50">
    <w:name w:val="政府采购ok"/>
    <w:basedOn w:val="1"/>
    <w:qFormat/>
    <w:uiPriority w:val="0"/>
    <w:pPr>
      <w:spacing w:line="28" w:lineRule="atLeast"/>
      <w:ind w:firstLine="200" w:firstLineChars="200"/>
    </w:pPr>
    <w:rPr>
      <w:rFonts w:hint="eastAsia" w:ascii="宋体" w:hAnsi="宋体" w:eastAsia="宋体" w:cs="宋体"/>
      <w:sz w:val="21"/>
      <w:szCs w:val="21"/>
    </w:rPr>
  </w:style>
  <w:style w:type="paragraph" w:customStyle="1" w:styleId="51">
    <w:name w:val="样式5"/>
    <w:basedOn w:val="1"/>
    <w:next w:val="15"/>
    <w:qFormat/>
    <w:uiPriority w:val="0"/>
    <w:pPr>
      <w:spacing w:line="240" w:lineRule="auto"/>
    </w:pPr>
    <w:rPr>
      <w:rFonts w:eastAsia="宋体"/>
      <w:sz w:val="24"/>
    </w:rPr>
  </w:style>
  <w:style w:type="character" w:customStyle="1" w:styleId="52">
    <w:name w:val="标题 4 字符"/>
    <w:link w:val="6"/>
    <w:qFormat/>
    <w:uiPriority w:val="1"/>
    <w:rPr>
      <w:rFonts w:ascii="黑体" w:hAnsi="黑体" w:eastAsia="黑体" w:cs="Times New Roman"/>
      <w:b/>
      <w:kern w:val="2"/>
      <w:sz w:val="24"/>
      <w:szCs w:val="24"/>
    </w:rPr>
  </w:style>
  <w:style w:type="character" w:customStyle="1" w:styleId="53">
    <w:name w:val="页眉 字符"/>
    <w:link w:val="22"/>
    <w:qFormat/>
    <w:uiPriority w:val="0"/>
    <w:rPr>
      <w:rFonts w:ascii="Calibri" w:hAnsi="Calibri" w:eastAsia="楷体" w:cs="Times New Roman"/>
      <w:kern w:val="2"/>
      <w:sz w:val="18"/>
      <w:szCs w:val="24"/>
    </w:rPr>
  </w:style>
  <w:style w:type="character" w:customStyle="1" w:styleId="54">
    <w:name w:val="列表段落 字符"/>
    <w:link w:val="46"/>
    <w:qFormat/>
    <w:locked/>
    <w:uiPriority w:val="34"/>
    <w:rPr>
      <w:rFonts w:ascii="Calibri" w:hAnsi="Calibri" w:eastAsia="楷体" w:cs="Times New Roman"/>
      <w:kern w:val="2"/>
      <w:sz w:val="28"/>
      <w:szCs w:val="24"/>
    </w:rPr>
  </w:style>
  <w:style w:type="character" w:customStyle="1" w:styleId="55">
    <w:name w:val="text_h038s"/>
    <w:basedOn w:val="33"/>
    <w:qFormat/>
    <w:uiPriority w:val="0"/>
  </w:style>
  <w:style w:type="character" w:customStyle="1" w:styleId="56">
    <w:name w:val="supwrap_c9i5o"/>
    <w:basedOn w:val="33"/>
    <w:qFormat/>
    <w:uiPriority w:val="0"/>
  </w:style>
  <w:style w:type="character" w:customStyle="1" w:styleId="57">
    <w:name w:val="正文文本 字符"/>
    <w:link w:val="16"/>
    <w:qFormat/>
    <w:uiPriority w:val="0"/>
    <w:rPr>
      <w:rFonts w:ascii="Calibri" w:hAnsi="Calibri" w:eastAsia="楷体" w:cs="Times New Roman"/>
      <w:kern w:val="2"/>
      <w:sz w:val="28"/>
      <w:szCs w:val="24"/>
    </w:rPr>
  </w:style>
  <w:style w:type="character" w:customStyle="1" w:styleId="58">
    <w:name w:val="标题 2 字符"/>
    <w:link w:val="3"/>
    <w:qFormat/>
    <w:uiPriority w:val="0"/>
    <w:rPr>
      <w:rFonts w:ascii="Arial" w:hAnsi="Arial" w:eastAsia="仿宋_GB2312"/>
      <w:b/>
      <w:bCs/>
      <w:kern w:val="2"/>
      <w:sz w:val="32"/>
      <w:szCs w:val="24"/>
    </w:rPr>
  </w:style>
  <w:style w:type="character" w:customStyle="1" w:styleId="59">
    <w:name w:val="标题 5 字符"/>
    <w:link w:val="7"/>
    <w:qFormat/>
    <w:uiPriority w:val="0"/>
    <w:rPr>
      <w:rFonts w:ascii="Calibri" w:hAnsi="Calibri" w:eastAsia="黑体" w:cs="Times New Roman"/>
      <w:kern w:val="2"/>
      <w:sz w:val="24"/>
      <w:szCs w:val="24"/>
    </w:rPr>
  </w:style>
  <w:style w:type="paragraph" w:customStyle="1" w:styleId="60">
    <w:name w:val="图片备注"/>
    <w:basedOn w:val="1"/>
    <w:link w:val="61"/>
    <w:qFormat/>
    <w:uiPriority w:val="0"/>
    <w:pPr>
      <w:jc w:val="center"/>
    </w:pPr>
    <w:rPr>
      <w:rFonts w:ascii="宋体" w:hAnsi="楷体" w:eastAsia="宋体" w:cs="Calibri"/>
      <w:sz w:val="24"/>
      <w:szCs w:val="28"/>
    </w:rPr>
  </w:style>
  <w:style w:type="character" w:customStyle="1" w:styleId="61">
    <w:name w:val="图片备注 Char"/>
    <w:link w:val="60"/>
    <w:qFormat/>
    <w:uiPriority w:val="0"/>
    <w:rPr>
      <w:rFonts w:ascii="宋体" w:hAnsi="楷体" w:cs="Calibri"/>
      <w:kern w:val="2"/>
      <w:sz w:val="24"/>
      <w:szCs w:val="28"/>
    </w:rPr>
  </w:style>
  <w:style w:type="paragraph" w:customStyle="1" w:styleId="62">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 w:type="table" w:customStyle="1" w:styleId="63">
    <w:name w:val="Table Normal"/>
    <w:semiHidden/>
    <w:unhideWhenUsed/>
    <w:qFormat/>
    <w:uiPriority w:val="0"/>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64">
    <w:name w:val="Table Paragraph"/>
    <w:basedOn w:val="1"/>
    <w:qFormat/>
    <w:uiPriority w:val="0"/>
    <w:pPr>
      <w:autoSpaceDE w:val="0"/>
      <w:autoSpaceDN w:val="0"/>
      <w:spacing w:line="240" w:lineRule="auto"/>
      <w:jc w:val="left"/>
    </w:pPr>
    <w:rPr>
      <w:rFonts w:ascii="宋体" w:hAnsi="宋体" w:eastAsia="宋体" w:cs="宋体"/>
      <w:kern w:val="0"/>
      <w:sz w:val="22"/>
      <w:szCs w:val="22"/>
      <w:lang w:eastAsia="en-US"/>
    </w:rPr>
  </w:style>
  <w:style w:type="character" w:customStyle="1" w:styleId="65">
    <w:name w:val="NormalCharacter"/>
    <w:qFormat/>
    <w:uiPriority w:val="0"/>
  </w:style>
  <w:style w:type="paragraph" w:customStyle="1" w:styleId="66">
    <w:name w:val="TOC Heading"/>
    <w:basedOn w:val="2"/>
    <w:next w:val="1"/>
    <w:unhideWhenUsed/>
    <w:qFormat/>
    <w:uiPriority w:val="39"/>
    <w:pPr>
      <w:widowControl/>
      <w:spacing w:before="240" w:line="259" w:lineRule="auto"/>
      <w:jc w:val="left"/>
      <w:outlineLvl w:val="9"/>
    </w:pPr>
    <w:rPr>
      <w:rFonts w:ascii="Calibri Light" w:hAnsi="Calibri Light" w:eastAsia="宋体"/>
      <w:b w:val="0"/>
      <w:bCs w:val="0"/>
      <w:color w:val="2D53A0"/>
      <w:kern w:val="0"/>
      <w:szCs w:val="32"/>
    </w:rPr>
  </w:style>
  <w:style w:type="paragraph" w:customStyle="1" w:styleId="67">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6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69">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eastAsia="en-US"/>
    </w:rPr>
  </w:style>
  <w:style w:type="paragraph" w:customStyle="1" w:styleId="70">
    <w:name w:val="null3"/>
    <w:hidden/>
    <w:qFormat/>
    <w:uiPriority w:val="0"/>
    <w:rPr>
      <w:rFonts w:hint="eastAsia" w:asciiTheme="minorHAnsi" w:hAnsiTheme="minorHAnsi" w:eastAsiaTheme="minorEastAsia" w:cstheme="minorBidi"/>
      <w:lang w:val="en-US" w:eastAsia="zh-Hans" w:bidi="ar-SA"/>
    </w:rPr>
  </w:style>
  <w:style w:type="character" w:customStyle="1" w:styleId="71">
    <w:name w:val="description"/>
    <w:basedOn w:val="3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C96FE-157B-45B6-851C-6E57ADEC5C22}">
  <ds:schemaRefs/>
</ds:datastoreItem>
</file>

<file path=docProps/app.xml><?xml version="1.0" encoding="utf-8"?>
<Properties xmlns="http://schemas.openxmlformats.org/officeDocument/2006/extended-properties" xmlns:vt="http://schemas.openxmlformats.org/officeDocument/2006/docPropsVTypes">
  <Template>Normal</Template>
  <Company>中铁12局</Company>
  <Pages>65</Pages>
  <Words>3276</Words>
  <Characters>3475</Characters>
  <Lines>1261</Lines>
  <Paragraphs>1030</Paragraphs>
  <TotalTime>37</TotalTime>
  <ScaleCrop>false</ScaleCrop>
  <LinksUpToDate>false</LinksUpToDate>
  <CharactersWithSpaces>3539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2026-04-03T03:34:00Z</dcterms:created>
  <dc:creator>懵懵懂懂</dc:creator>
  <cp:lastModifiedBy>荣耀</cp:lastModifiedBy>
  <cp:lastPrinted>2024-11-05T11:18:00Z</cp:lastPrinted>
  <dcterms:modified xsi:type="dcterms:W3CDTF">2026-07-07T03:39:55Z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56A43831D56043E4BF7033D9CA47970A_13</vt:lpwstr>
  </property>
  <property fmtid="{D5CDD505-2E9C-101B-9397-08002B2CF9AE}" pid="4" name="KSOTemplateDocerSaveRecord">
    <vt:lpwstr>eyJoZGlkIjoiOGQ0ZTM1YjAwNTUxYzBhNTc0MzEyYzAxMGI4YmE2NzkiLCJ1c2VySWQiOiIzMDc5MTg2OTcifQ==</vt:lpwstr>
  </property>
</Properties>
</file>