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96987">
      <w:pPr>
        <w:pStyle w:val="14"/>
        <w:shd w:val="clear" w:color="auto" w:fill="FFFFFF"/>
        <w:spacing w:before="0" w:beforeAutospacing="0" w:after="0" w:afterAutospacing="0"/>
        <w:jc w:val="center"/>
        <w:rPr>
          <w:rFonts w:hint="eastAsia" w:ascii="方正小标宋_GBK" w:hAnsi="微软雅黑" w:eastAsia="方正小标宋_GBK"/>
          <w:color w:val="121212"/>
          <w:lang w:eastAsia="zh-CN"/>
        </w:rPr>
      </w:pPr>
      <w:r>
        <w:rPr>
          <w:rStyle w:val="18"/>
          <w:rFonts w:hint="eastAsia" w:ascii="方正小标宋_GBK" w:hAnsi="微软雅黑" w:eastAsia="方正小标宋_GBK"/>
          <w:color w:val="121212"/>
          <w:sz w:val="36"/>
          <w:szCs w:val="36"/>
        </w:rPr>
        <w:t>托里县农村供水县域统管实施方案</w:t>
      </w:r>
      <w:r>
        <w:rPr>
          <w:rStyle w:val="18"/>
          <w:rFonts w:hint="eastAsia" w:ascii="方正小标宋_GBK" w:hAnsi="微软雅黑" w:eastAsia="方正小标宋_GBK"/>
          <w:color w:val="121212"/>
          <w:sz w:val="36"/>
          <w:szCs w:val="36"/>
          <w:lang w:eastAsia="zh-CN"/>
        </w:rPr>
        <w:t>（</w:t>
      </w:r>
      <w:r>
        <w:rPr>
          <w:rStyle w:val="18"/>
          <w:rFonts w:hint="eastAsia" w:ascii="方正小标宋_GBK" w:hAnsi="微软雅黑" w:eastAsia="方正小标宋_GBK"/>
          <w:color w:val="121212"/>
          <w:sz w:val="36"/>
          <w:szCs w:val="36"/>
          <w:lang w:val="en-US" w:eastAsia="zh-CN"/>
        </w:rPr>
        <w:t>草案</w:t>
      </w:r>
      <w:bookmarkStart w:id="0" w:name="_GoBack"/>
      <w:bookmarkEnd w:id="0"/>
      <w:r>
        <w:rPr>
          <w:rStyle w:val="18"/>
          <w:rFonts w:hint="eastAsia" w:ascii="方正小标宋_GBK" w:hAnsi="微软雅黑" w:eastAsia="方正小标宋_GBK"/>
          <w:color w:val="121212"/>
          <w:sz w:val="36"/>
          <w:szCs w:val="36"/>
          <w:lang w:eastAsia="zh-CN"/>
        </w:rPr>
        <w:t>）</w:t>
      </w:r>
    </w:p>
    <w:p w14:paraId="762231F0">
      <w:pPr>
        <w:pStyle w:val="14"/>
        <w:shd w:val="clear" w:color="auto" w:fill="FFFFFF"/>
        <w:spacing w:before="0" w:beforeAutospacing="0" w:after="0" w:afterAutospacing="0"/>
        <w:rPr>
          <w:rFonts w:hint="eastAsia" w:ascii="微软雅黑" w:hAnsi="微软雅黑" w:eastAsia="微软雅黑"/>
          <w:color w:val="121212"/>
        </w:rPr>
      </w:pPr>
    </w:p>
    <w:p w14:paraId="18E2B27C">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微软雅黑" w:hAnsi="微软雅黑" w:eastAsia="微软雅黑"/>
          <w:color w:val="121212"/>
        </w:rPr>
        <w:t>　　</w:t>
      </w:r>
      <w:r>
        <w:rPr>
          <w:rFonts w:hint="eastAsia" w:ascii="仿宋_GB2312" w:hAnsi="微软雅黑" w:eastAsia="仿宋_GB2312"/>
          <w:color w:val="121212"/>
          <w:sz w:val="32"/>
          <w:szCs w:val="32"/>
        </w:rPr>
        <w:t>为深入贯彻习近平总书记关于农村饮水安全保障重要指示批示精神，全面落实《水利部关于加快推动农村供水高质量发展的指导意见》（水农〔2023〕283号）、《水利部办公厅关于加快推进农村供水县域统管工作的通知》（办农水〔2024〕107号）等文件要求，进一步提升我县农村供水保障水平，扎实推进农村供水县域统管工作，特制定本方案。</w:t>
      </w:r>
    </w:p>
    <w:p w14:paraId="1AA5D63B">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仿宋_GB2312" w:hAnsi="微软雅黑" w:eastAsia="仿宋_GB2312"/>
          <w:color w:val="121212"/>
          <w:sz w:val="32"/>
          <w:szCs w:val="32"/>
        </w:rPr>
        <w:t>　</w:t>
      </w:r>
      <w:r>
        <w:rPr>
          <w:rFonts w:hint="eastAsia" w:ascii="黑体" w:hAnsi="黑体" w:eastAsia="黑体"/>
          <w:color w:val="121212"/>
          <w:sz w:val="32"/>
          <w:szCs w:val="32"/>
        </w:rPr>
        <w:t>一、总体要求</w:t>
      </w:r>
    </w:p>
    <w:p w14:paraId="67186023">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以习近平新时代中国特色社会主义思想为指导，贯彻落实水利部关于加快推进农村供水县域统管工作的相关部署，对标农村基本具备现代生活条件和建设宜居宜业和美乡村要求，按照“政府监管、企业化运营、专业化管理、社会化服务”的总体思路，因地制宜、分类施策，落实农村供水县域统管地方政府主体责任、水行政等行业部门监管责任、统管主体运行管理责任，建立完善县域农村供水专业化管护平台，健全优化县域统管标准服务体系、运营管理体系、监管责任体系、服务保障体系，实现农村供水专业化管护全覆盖，最大程度实现同一供水区域同源、同网、同质、同服务、同监管，加快推动农村供水高质量发展，不断提升农村供水保障能力和水平，为推进农业农村现代化提供有力保障。</w:t>
      </w:r>
    </w:p>
    <w:p w14:paraId="42EEBF37">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黑体" w:hAnsi="黑体" w:eastAsia="黑体"/>
          <w:color w:val="121212"/>
          <w:sz w:val="32"/>
          <w:szCs w:val="32"/>
        </w:rPr>
        <w:t>二、农村供水现状</w:t>
      </w:r>
    </w:p>
    <w:p w14:paraId="150F71C3">
      <w:pPr>
        <w:pStyle w:val="14"/>
        <w:shd w:val="clear" w:color="auto" w:fill="FFFFFF"/>
        <w:spacing w:before="0" w:beforeAutospacing="0" w:after="0" w:afterAutospacing="0"/>
        <w:ind w:firstLine="640" w:firstLineChars="200"/>
        <w:jc w:val="both"/>
        <w:rPr>
          <w:rFonts w:ascii="仿宋_GB2312" w:hAnsi="微软雅黑" w:eastAsia="仿宋_GB2312"/>
          <w:color w:val="121212"/>
          <w:sz w:val="32"/>
          <w:szCs w:val="32"/>
        </w:rPr>
      </w:pPr>
      <w:r>
        <w:rPr>
          <w:rFonts w:hint="eastAsia" w:ascii="仿宋_GB2312" w:hAnsi="微软雅黑" w:eastAsia="仿宋_GB2312"/>
          <w:color w:val="121212"/>
          <w:sz w:val="32"/>
          <w:szCs w:val="32"/>
        </w:rPr>
        <w:t>托里县农村供水人口为</w:t>
      </w:r>
      <w:r>
        <w:rPr>
          <w:rFonts w:ascii="仿宋_GB2312" w:hAnsi="微软雅黑" w:eastAsia="仿宋_GB2312"/>
          <w:color w:val="121212"/>
          <w:sz w:val="32"/>
          <w:szCs w:val="32"/>
        </w:rPr>
        <w:t>6.4</w:t>
      </w:r>
      <w:r>
        <w:rPr>
          <w:rFonts w:hint="eastAsia" w:ascii="仿宋_GB2312" w:hAnsi="微软雅黑" w:eastAsia="仿宋_GB2312"/>
          <w:color w:val="121212"/>
          <w:sz w:val="32"/>
          <w:szCs w:val="32"/>
        </w:rPr>
        <w:t>万人，农村集中式供水工程</w:t>
      </w:r>
      <w:r>
        <w:rPr>
          <w:rFonts w:ascii="仿宋_GB2312" w:hAnsi="微软雅黑" w:eastAsia="仿宋_GB2312"/>
          <w:color w:val="121212"/>
          <w:sz w:val="32"/>
          <w:szCs w:val="32"/>
        </w:rPr>
        <w:t>37</w:t>
      </w:r>
      <w:r>
        <w:rPr>
          <w:rFonts w:hint="eastAsia" w:ascii="仿宋_GB2312" w:hAnsi="微软雅黑" w:eastAsia="仿宋_GB2312"/>
          <w:color w:val="121212"/>
          <w:sz w:val="32"/>
          <w:szCs w:val="32"/>
        </w:rPr>
        <w:t>处（规模化供水工程</w:t>
      </w:r>
      <w:r>
        <w:rPr>
          <w:rFonts w:ascii="仿宋_GB2312" w:hAnsi="微软雅黑" w:eastAsia="仿宋_GB2312"/>
          <w:color w:val="121212"/>
          <w:sz w:val="32"/>
          <w:szCs w:val="32"/>
        </w:rPr>
        <w:t>3</w:t>
      </w:r>
      <w:r>
        <w:rPr>
          <w:rFonts w:hint="eastAsia" w:ascii="仿宋_GB2312" w:hAnsi="微软雅黑" w:eastAsia="仿宋_GB2312"/>
          <w:color w:val="121212"/>
          <w:sz w:val="32"/>
          <w:szCs w:val="32"/>
        </w:rPr>
        <w:t>处、千人以上供水工程</w:t>
      </w:r>
      <w:r>
        <w:rPr>
          <w:rFonts w:ascii="仿宋_GB2312" w:hAnsi="微软雅黑" w:eastAsia="仿宋_GB2312"/>
          <w:color w:val="121212"/>
          <w:sz w:val="32"/>
          <w:szCs w:val="32"/>
        </w:rPr>
        <w:t>11</w:t>
      </w:r>
      <w:r>
        <w:rPr>
          <w:rFonts w:hint="eastAsia" w:ascii="仿宋_GB2312" w:hAnsi="微软雅黑" w:eastAsia="仿宋_GB2312"/>
          <w:color w:val="121212"/>
          <w:sz w:val="32"/>
          <w:szCs w:val="32"/>
        </w:rPr>
        <w:t>处、千人以下供水工程</w:t>
      </w:r>
      <w:r>
        <w:rPr>
          <w:rFonts w:ascii="仿宋_GB2312" w:hAnsi="微软雅黑" w:eastAsia="仿宋_GB2312"/>
          <w:color w:val="121212"/>
          <w:sz w:val="32"/>
          <w:szCs w:val="32"/>
        </w:rPr>
        <w:t>23</w:t>
      </w:r>
      <w:r>
        <w:rPr>
          <w:rFonts w:hint="eastAsia" w:ascii="仿宋_GB2312" w:hAnsi="微软雅黑" w:eastAsia="仿宋_GB2312"/>
          <w:color w:val="121212"/>
          <w:sz w:val="32"/>
          <w:szCs w:val="32"/>
        </w:rPr>
        <w:t>处），覆盖农村人口</w:t>
      </w:r>
      <w:r>
        <w:rPr>
          <w:rFonts w:ascii="仿宋_GB2312" w:hAnsi="微软雅黑" w:eastAsia="仿宋_GB2312"/>
          <w:color w:val="121212"/>
          <w:sz w:val="32"/>
          <w:szCs w:val="32"/>
        </w:rPr>
        <w:t>5.8</w:t>
      </w:r>
      <w:r>
        <w:rPr>
          <w:rFonts w:hint="eastAsia" w:ascii="仿宋_GB2312" w:hAnsi="微软雅黑" w:eastAsia="仿宋_GB2312"/>
          <w:color w:val="121212"/>
          <w:sz w:val="32"/>
          <w:szCs w:val="32"/>
        </w:rPr>
        <w:t>万人；分散式供水工程</w:t>
      </w:r>
      <w:r>
        <w:rPr>
          <w:rFonts w:ascii="仿宋_GB2312" w:hAnsi="微软雅黑" w:eastAsia="仿宋_GB2312"/>
          <w:color w:val="121212"/>
          <w:sz w:val="32"/>
          <w:szCs w:val="32"/>
        </w:rPr>
        <w:t>436</w:t>
      </w:r>
      <w:r>
        <w:rPr>
          <w:rFonts w:hint="eastAsia" w:ascii="仿宋_GB2312" w:hAnsi="微软雅黑" w:eastAsia="仿宋_GB2312"/>
          <w:color w:val="121212"/>
          <w:sz w:val="32"/>
          <w:szCs w:val="32"/>
        </w:rPr>
        <w:t>处，覆盖农村人口</w:t>
      </w:r>
      <w:r>
        <w:rPr>
          <w:rFonts w:ascii="仿宋_GB2312" w:hAnsi="微软雅黑" w:eastAsia="仿宋_GB2312"/>
          <w:color w:val="121212"/>
          <w:sz w:val="32"/>
          <w:szCs w:val="32"/>
        </w:rPr>
        <w:t>0.57</w:t>
      </w:r>
      <w:r>
        <w:rPr>
          <w:rFonts w:hint="eastAsia" w:ascii="仿宋_GB2312" w:hAnsi="微软雅黑" w:eastAsia="仿宋_GB2312"/>
          <w:color w:val="121212"/>
          <w:sz w:val="32"/>
          <w:szCs w:val="32"/>
        </w:rPr>
        <w:t>万人。农村自来水普及率达到</w:t>
      </w:r>
      <w:r>
        <w:rPr>
          <w:rFonts w:ascii="仿宋_GB2312" w:hAnsi="微软雅黑" w:eastAsia="仿宋_GB2312"/>
          <w:color w:val="121212"/>
          <w:sz w:val="32"/>
          <w:szCs w:val="32"/>
        </w:rPr>
        <w:t>91.5%</w:t>
      </w:r>
      <w:r>
        <w:rPr>
          <w:rFonts w:hint="eastAsia" w:ascii="仿宋_GB2312" w:hAnsi="微软雅黑" w:eastAsia="仿宋_GB2312"/>
          <w:color w:val="121212"/>
          <w:sz w:val="32"/>
          <w:szCs w:val="32"/>
        </w:rPr>
        <w:t>，规模化供水工程覆盖农村人口比例为</w:t>
      </w:r>
      <w:r>
        <w:rPr>
          <w:rFonts w:ascii="仿宋_GB2312" w:hAnsi="微软雅黑" w:eastAsia="仿宋_GB2312"/>
          <w:color w:val="121212"/>
          <w:sz w:val="32"/>
          <w:szCs w:val="32"/>
        </w:rPr>
        <w:t>46.7</w:t>
      </w:r>
      <w:r>
        <w:rPr>
          <w:rFonts w:hint="eastAsia" w:ascii="仿宋_GB2312" w:hAnsi="微软雅黑" w:eastAsia="仿宋_GB2312"/>
          <w:color w:val="121212"/>
          <w:sz w:val="32"/>
          <w:szCs w:val="32"/>
        </w:rPr>
        <w:t>％。目前，</w:t>
      </w:r>
      <w:r>
        <w:rPr>
          <w:rFonts w:ascii="仿宋_GB2312" w:hAnsi="微软雅黑" w:eastAsia="仿宋_GB2312"/>
          <w:color w:val="121212"/>
          <w:sz w:val="32"/>
          <w:szCs w:val="32"/>
        </w:rPr>
        <w:t>4</w:t>
      </w:r>
      <w:r>
        <w:rPr>
          <w:rFonts w:hint="eastAsia" w:ascii="仿宋_GB2312" w:hAnsi="微软雅黑" w:eastAsia="仿宋_GB2312"/>
          <w:color w:val="121212"/>
          <w:sz w:val="32"/>
          <w:szCs w:val="32"/>
        </w:rPr>
        <w:t>处工程由托里县新禹水利发展投资有限公司负责运行管理，</w:t>
      </w:r>
      <w:r>
        <w:rPr>
          <w:rFonts w:ascii="仿宋_GB2312" w:hAnsi="微软雅黑" w:eastAsia="仿宋_GB2312"/>
          <w:color w:val="121212"/>
          <w:sz w:val="32"/>
          <w:szCs w:val="32"/>
        </w:rPr>
        <w:t>1</w:t>
      </w:r>
      <w:r>
        <w:rPr>
          <w:rFonts w:hint="eastAsia" w:ascii="仿宋_GB2312" w:hAnsi="微软雅黑" w:eastAsia="仿宋_GB2312"/>
          <w:color w:val="121212"/>
          <w:sz w:val="32"/>
          <w:szCs w:val="32"/>
        </w:rPr>
        <w:t>处由供排水公司管理，其余</w:t>
      </w:r>
      <w:r>
        <w:rPr>
          <w:rFonts w:ascii="仿宋_GB2312" w:hAnsi="微软雅黑" w:eastAsia="仿宋_GB2312"/>
          <w:color w:val="121212"/>
          <w:sz w:val="32"/>
          <w:szCs w:val="32"/>
        </w:rPr>
        <w:t>32</w:t>
      </w:r>
      <w:r>
        <w:rPr>
          <w:rFonts w:hint="eastAsia" w:ascii="仿宋_GB2312" w:hAnsi="微软雅黑" w:eastAsia="仿宋_GB2312"/>
          <w:color w:val="121212"/>
          <w:sz w:val="32"/>
          <w:szCs w:val="32"/>
        </w:rPr>
        <w:t>处工程由乡（镇）、村自行管理。</w:t>
      </w:r>
    </w:p>
    <w:p w14:paraId="45FD91A7">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2022年，托里县成立托里县新禹水利投资发展有限公司（以下简称“新禹公司”）负责统管全县涉水事务，该企业购置全县8座水库，政府划拨部分农村供水等国有资产，2026年新禹公司承担农村供水管护主体责任，构建起企业化运营、专业化管护的农村供水管理体系。近年来，我县持续加大农村供水设施建设投入，管网铺设、水源保障、水厂改造等基础工程稳步推进，农村供水保障能力得到显著提升，为县域统管和高质量发展奠定了坚实基础。但在推进城乡供水一体化深度融合、实现农村供水全域统管、提质增效的过程中，仍面临以下突出问题：</w:t>
      </w:r>
    </w:p>
    <w:p w14:paraId="2BC9820B">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（一）统管覆盖存在盲区。</w:t>
      </w:r>
      <w:r>
        <w:rPr>
          <w:rFonts w:hint="eastAsia" w:ascii="仿宋_GB2312" w:hAnsi="微软雅黑" w:eastAsia="仿宋_GB2312"/>
          <w:color w:val="121212"/>
          <w:sz w:val="32"/>
          <w:szCs w:val="32"/>
        </w:rPr>
        <w:t>全县尚有32个村沿用单村供水模式，涉及6个乡镇共2.12万人、30.27万头牲畜，部分村队存在水质不达标问题，未达到自治区农村供水县域统管全覆盖要求，制约了规模化供水效益发挥。</w:t>
      </w:r>
    </w:p>
    <w:p w14:paraId="6C8EB9AF">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（二）运维体系不完善。</w:t>
      </w:r>
      <w:r>
        <w:rPr>
          <w:rFonts w:hint="eastAsia" w:ascii="仿宋_GB2312" w:hAnsi="微软雅黑" w:eastAsia="仿宋_GB2312"/>
          <w:color w:val="121212"/>
          <w:sz w:val="32"/>
          <w:szCs w:val="32"/>
        </w:rPr>
        <w:t>单村供水区域缺乏常态化水质监测与设施维护机制，水源保护责任落实不到位，存在养殖和农业面源污染隐患；管水员专业性不足，难以满足专业化运维需要。</w:t>
      </w:r>
    </w:p>
    <w:p w14:paraId="3A7658AC">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（三）计量收费管理不规范。</w:t>
      </w:r>
      <w:r>
        <w:rPr>
          <w:rFonts w:hint="eastAsia" w:ascii="仿宋_GB2312" w:hAnsi="微软雅黑" w:eastAsia="仿宋_GB2312"/>
          <w:color w:val="121212"/>
          <w:sz w:val="32"/>
          <w:szCs w:val="32"/>
        </w:rPr>
        <w:t>2025年通过计量设施安装项目水表安装率已达96%，现有计量设施和远程监测能力基本满足管理要求；但水费收缴率不足60%，欠缴比较严重，制约设施长效运维。</w:t>
      </w:r>
    </w:p>
    <w:p w14:paraId="6934A01D">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（四）应急保障能力薄弱。</w:t>
      </w:r>
      <w:r>
        <w:rPr>
          <w:rFonts w:hint="eastAsia" w:ascii="仿宋_GB2312" w:hAnsi="微软雅黑" w:eastAsia="仿宋_GB2312"/>
          <w:color w:val="121212"/>
          <w:sz w:val="32"/>
          <w:szCs w:val="32"/>
        </w:rPr>
        <w:t>全域应急供水机制不健全，单村及偏远地区缺乏专项预案，备用水源及应急物资储备不足，难以有效应对极端天气和突发污染事件。</w:t>
      </w:r>
    </w:p>
    <w:p w14:paraId="0D5F1B3F">
      <w:pPr>
        <w:pStyle w:val="14"/>
        <w:shd w:val="clear" w:color="auto" w:fill="FFFFFF"/>
        <w:spacing w:before="0" w:beforeAutospacing="0" w:after="0" w:afterAutospacing="0"/>
        <w:ind w:firstLine="640" w:firstLineChars="20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（五）政策宣传与群众参与不够。</w:t>
      </w:r>
      <w:r>
        <w:rPr>
          <w:rFonts w:hint="eastAsia" w:ascii="仿宋_GB2312" w:hAnsi="微软雅黑" w:eastAsia="仿宋_GB2312"/>
          <w:color w:val="121212"/>
          <w:sz w:val="32"/>
          <w:szCs w:val="32"/>
        </w:rPr>
        <w:t>群众节水意识及缴费意愿不强，对统管政策理解不深、存在抵触；参与管理和监督的渠道不畅，影响统管工作整体推进。</w:t>
      </w:r>
    </w:p>
    <w:p w14:paraId="4BE600E9">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黑体" w:hAnsi="黑体" w:eastAsia="黑体"/>
          <w:color w:val="121212"/>
          <w:sz w:val="32"/>
          <w:szCs w:val="32"/>
        </w:rPr>
        <w:t>　</w:t>
      </w:r>
      <w:r>
        <w:rPr>
          <w:rStyle w:val="18"/>
          <w:rFonts w:hint="eastAsia" w:ascii="黑体" w:hAnsi="黑体" w:eastAsia="黑体"/>
          <w:color w:val="121212"/>
          <w:sz w:val="32"/>
          <w:szCs w:val="32"/>
        </w:rPr>
        <w:t>三、工作目标</w:t>
      </w:r>
    </w:p>
    <w:p w14:paraId="51BDB785">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2026年12月底前，遵循“政府监管、企业化运营、专业化管理、社会化服务”原则，全面推进“3+ 1 ”标准化建设和管护模式（“3”即城乡供水一体化、集中供水规模化、小型供水工程规范化； “1” 即县域统管和专业化管理），着力构建“统一规划、统一建设、统一管理、统一服务、统一监管”的农村供水管理体系，努力实现“ 同源、同网、同质、同价、同服务、同监管”，确保农村供水工程长期稳定运行。到2026年底，基本实现农村供水县域统管，农村自来水普及率提升至92% ，规模化供水工程覆盖农村人口比例达80%；整合所有供水村队实现县域统管，建立权责清晰、协同高效的运行机制；完成农村供水成本水价测算与调整，建立水价动态调整和缺口补贴机制，形成“以水养水+政府托底”良性循环，构建体系布局完善、设施集约安全、管护规范专业、服务优质高效的农村供水高质量发展格局；开展政策宣传和群众动员，营造理解支持县域统管的良好氛围。</w:t>
      </w:r>
    </w:p>
    <w:p w14:paraId="76365117">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黑体" w:hAnsi="黑体" w:eastAsia="黑体"/>
          <w:color w:val="121212"/>
          <w:sz w:val="32"/>
          <w:szCs w:val="32"/>
        </w:rPr>
        <w:t>　　</w:t>
      </w:r>
      <w:r>
        <w:rPr>
          <w:rStyle w:val="18"/>
          <w:rFonts w:hint="eastAsia" w:ascii="黑体" w:hAnsi="黑体" w:eastAsia="黑体"/>
          <w:color w:val="121212"/>
          <w:sz w:val="32"/>
          <w:szCs w:val="32"/>
        </w:rPr>
        <w:t>四、主要任务</w:t>
      </w:r>
    </w:p>
    <w:p w14:paraId="3E8D09DD">
      <w:pPr>
        <w:pStyle w:val="14"/>
        <w:shd w:val="clear" w:color="auto" w:fill="FFFFFF"/>
        <w:spacing w:before="0" w:beforeAutospacing="0" w:after="0" w:afterAutospacing="0"/>
        <w:ind w:firstLine="480"/>
        <w:jc w:val="both"/>
        <w:rPr>
          <w:rFonts w:ascii="楷体_GB2312" w:eastAsia="楷体_GB2312"/>
          <w:b/>
          <w:bCs/>
          <w:sz w:val="32"/>
          <w:szCs w:val="32"/>
        </w:rPr>
      </w:pPr>
      <w:r>
        <w:rPr>
          <w:rFonts w:hint="eastAsia" w:ascii="楷体_GB2312" w:eastAsia="楷体_GB2312"/>
          <w:b/>
          <w:bCs/>
          <w:sz w:val="32"/>
          <w:szCs w:val="32"/>
        </w:rPr>
        <w:t>（一）明确统管模式</w:t>
      </w:r>
    </w:p>
    <w:p w14:paraId="3804BEF2">
      <w:pPr>
        <w:pStyle w:val="14"/>
        <w:shd w:val="clear" w:color="auto" w:fill="FFFFFF"/>
        <w:spacing w:before="0" w:beforeAutospacing="0" w:after="0" w:afterAutospacing="0"/>
        <w:ind w:firstLine="48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由县农村工作领导小组牵头，建立县域统管专项工作专班，制定“一村一策”整合方案。各乡镇先行完成32个单村供水村队的管网、水源、设施等资产清查登记，明确权属归属，规范运行管理移交流程，由县新禹公司统一承接专业化管护职责；同步推进已实现集中供水村队的管护标准化升级，实现全县农村供水“统一规划、统一建设、统一管理、统一服务”。建立资产移交台账，明确管护边界和责任清单，确保移交后管理无缝衔接。</w:t>
      </w:r>
    </w:p>
    <w:p w14:paraId="36ADA2B6">
      <w:pPr>
        <w:pStyle w:val="14"/>
        <w:shd w:val="clear" w:color="auto" w:fill="FFFFFF"/>
        <w:spacing w:before="0" w:beforeAutospacing="0" w:after="0" w:afterAutospacing="0"/>
        <w:ind w:firstLine="480"/>
        <w:jc w:val="both"/>
        <w:rPr>
          <w:rFonts w:ascii="楷体_GB2312" w:eastAsia="楷体_GB2312"/>
          <w:sz w:val="32"/>
          <w:szCs w:val="32"/>
        </w:rPr>
      </w:pPr>
      <w:r>
        <w:rPr>
          <w:rFonts w:hint="eastAsia" w:ascii="楷体_GB2312" w:eastAsia="楷体_GB2312"/>
          <w:sz w:val="32"/>
          <w:szCs w:val="32"/>
        </w:rPr>
        <w:t>（二）健全体制机制，筑牢水质安全防线。</w:t>
      </w:r>
    </w:p>
    <w:p w14:paraId="505C7EC0">
      <w:pPr>
        <w:pStyle w:val="14"/>
        <w:shd w:val="clear" w:color="auto" w:fill="FFFFFF"/>
        <w:spacing w:before="0" w:beforeAutospacing="0" w:after="0" w:afterAutospacing="0"/>
        <w:ind w:firstLine="48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1. 强化水源地保护。修订完善农村水源地日常巡查制度，开展全县水源地拉网式排查，建立“一水源一档案”，明确保护范围和管护责任人；对所有水源地安装防护围栏、警示标志，全面清理养殖、废弃物等污染隐患，建立污染隐患动态清零机制。</w:t>
      </w:r>
    </w:p>
    <w:p w14:paraId="07777388">
      <w:pPr>
        <w:pStyle w:val="14"/>
        <w:shd w:val="clear" w:color="auto" w:fill="FFFFFF"/>
        <w:spacing w:before="0" w:beforeAutospacing="0" w:after="0" w:afterAutospacing="0"/>
        <w:ind w:firstLine="48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2. 完善水质保障机制。建立“县级抽检、企业自检、群众监督”三级水质监测体系，县水利局每季度开展水质巡检，县疾控中心定期开展水质检测，检测结果通过政务平台、村队公示栏等渠道及时公示；对氟超标等问题村队，采取安装净化设备、更换水源等针对性措施整改到位。</w:t>
      </w:r>
    </w:p>
    <w:p w14:paraId="0C97CB7A">
      <w:pPr>
        <w:pStyle w:val="14"/>
        <w:shd w:val="clear" w:color="auto" w:fill="FFFFFF"/>
        <w:spacing w:before="0" w:beforeAutospacing="0" w:after="0" w:afterAutospacing="0"/>
        <w:ind w:firstLine="48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3. 提升设施管护水平。完成4个水厂消毒设备更新、及2个地表水村净化设备配置，建立设备使用、维护台账；推行“专业队伍+村管水员”双轨管护模式，开展管水员技能培训，实现故障快速响应处置。</w:t>
      </w:r>
    </w:p>
    <w:p w14:paraId="3665BB19">
      <w:pPr>
        <w:spacing w:line="560" w:lineRule="exact"/>
        <w:ind w:firstLine="640" w:firstLineChars="200"/>
        <w:rPr>
          <w:rFonts w:hint="eastAsia"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责任单位：县新禹水利发展投资有限责任公司</w:t>
      </w:r>
    </w:p>
    <w:p w14:paraId="77C77543">
      <w:pPr>
        <w:spacing w:line="560" w:lineRule="exact"/>
        <w:ind w:firstLine="640" w:firstLineChars="200"/>
        <w:rPr>
          <w:rFonts w:hint="eastAsia"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配合单位：地区生态环境局托里县分局、各乡镇人民政府、卫健委、疾控中心、水利局</w:t>
      </w:r>
    </w:p>
    <w:p w14:paraId="291E1119">
      <w:pPr>
        <w:spacing w:line="560" w:lineRule="exact"/>
        <w:ind w:firstLine="640" w:firstLineChars="200"/>
        <w:rPr>
          <w:rFonts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完成时限：2026年12月中旬。</w:t>
      </w:r>
    </w:p>
    <w:p w14:paraId="0182B4FE">
      <w:pPr>
        <w:pStyle w:val="14"/>
        <w:shd w:val="clear" w:color="auto" w:fill="FFFFFF"/>
        <w:spacing w:before="0" w:beforeAutospacing="0" w:after="0" w:afterAutospacing="0"/>
        <w:ind w:firstLine="480"/>
        <w:jc w:val="both"/>
        <w:rPr>
          <w:rStyle w:val="18"/>
          <w:rFonts w:hint="eastAsia" w:ascii="楷体_GB2312" w:eastAsia="楷体_GB2312"/>
          <w:sz w:val="32"/>
          <w:szCs w:val="32"/>
        </w:rPr>
      </w:pPr>
      <w:r>
        <w:rPr>
          <w:rStyle w:val="18"/>
          <w:rFonts w:hint="eastAsia" w:ascii="楷体_GB2312" w:hAnsi="微软雅黑" w:eastAsia="楷体_GB2312"/>
          <w:color w:val="121212"/>
          <w:sz w:val="32"/>
          <w:szCs w:val="32"/>
        </w:rPr>
        <w:t>（三）完善水价形成机制</w:t>
      </w:r>
    </w:p>
    <w:p w14:paraId="0E661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Style w:val="18"/>
          <w:rFonts w:hint="eastAsia" w:ascii="仿宋_GB2312" w:hAnsi="微软雅黑" w:eastAsia="仿宋_GB2312"/>
          <w:color w:val="121212"/>
          <w:sz w:val="32"/>
          <w:szCs w:val="32"/>
        </w:rPr>
        <w:t>1.合理确定水价。</w:t>
      </w:r>
      <w:r>
        <w:rPr>
          <w:rFonts w:hint="eastAsia" w:ascii="仿宋_GB2312" w:hAnsi="微软雅黑" w:eastAsia="仿宋_GB2312"/>
          <w:color w:val="121212"/>
          <w:sz w:val="32"/>
          <w:szCs w:val="32"/>
        </w:rPr>
        <w:t>按照“覆盖成本、合理收益、节约用水、公平负担”原则，构建合理的水价形成机制。县域统管</w:t>
      </w:r>
      <w:r>
        <w:rPr>
          <w:rFonts w:hint="eastAsia" w:ascii="仿宋_GB2312" w:hAnsi="微软雅黑" w:eastAsia="仿宋_GB2312"/>
          <w:color w:val="121212"/>
          <w:sz w:val="32"/>
          <w:szCs w:val="32"/>
          <w:highlight w:val="none"/>
        </w:rPr>
        <w:t>机构向县发改委申报制定和调整水价，推行两部制水价和阶梯水价</w:t>
      </w:r>
      <w:r>
        <w:rPr>
          <w:rFonts w:hint="eastAsia" w:ascii="仿宋_GB2312" w:hAnsi="微软雅黑" w:eastAsia="仿宋_GB2312"/>
          <w:color w:val="121212"/>
          <w:sz w:val="32"/>
          <w:szCs w:val="32"/>
          <w:highlight w:val="none"/>
          <w:lang w:val="en-US" w:eastAsia="zh-CN"/>
        </w:rPr>
        <w:t>。</w:t>
      </w:r>
      <w:r>
        <w:rPr>
          <w:rFonts w:hint="eastAsia" w:ascii="仿宋_GB2312" w:hAnsi="微软雅黑" w:eastAsia="仿宋_GB2312"/>
          <w:color w:val="121212"/>
          <w:sz w:val="32"/>
          <w:szCs w:val="32"/>
          <w:lang w:val="en-US" w:eastAsia="zh-CN"/>
        </w:rPr>
        <w:t>严格执行行政规范性文件管理规定，全面落实公开征求意见、合法性审核、集体审议、公开发布及报备备案等法定程序，确保制度文件制发合法合规、程序规范有效。</w:t>
      </w:r>
    </w:p>
    <w:p w14:paraId="7E8BB3E1">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Style w:val="18"/>
          <w:rFonts w:hint="eastAsia" w:ascii="仿宋_GB2312" w:hAnsi="微软雅黑" w:eastAsia="仿宋_GB2312"/>
          <w:color w:val="121212"/>
          <w:sz w:val="32"/>
          <w:szCs w:val="32"/>
        </w:rPr>
        <w:t>2.完善计量设施。</w:t>
      </w:r>
      <w:r>
        <w:rPr>
          <w:rFonts w:hint="eastAsia" w:ascii="仿宋_GB2312" w:hAnsi="微软雅黑" w:eastAsia="仿宋_GB2312"/>
          <w:color w:val="121212"/>
          <w:sz w:val="32"/>
          <w:szCs w:val="32"/>
        </w:rPr>
        <w:t>集中供水区域推行“一户一表、水表出户”，按表计量。新安装及更换的水表必须经首次强制检定合格后方可投入使用。对于未安装分户计量设施的，由新禹公司负责加快安装。供水单位与用水户签订供水合同。新禹公司应制定水表周期轮换计划，确保水表按期轮换，保障计量准确。</w:t>
      </w:r>
    </w:p>
    <w:p w14:paraId="5080B6E3">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Style w:val="18"/>
          <w:rFonts w:hint="eastAsia" w:ascii="仿宋_GB2312" w:hAnsi="微软雅黑" w:eastAsia="仿宋_GB2312"/>
          <w:color w:val="121212"/>
          <w:sz w:val="32"/>
          <w:szCs w:val="32"/>
        </w:rPr>
        <w:t>5.加强水费收缴。</w:t>
      </w:r>
      <w:r>
        <w:rPr>
          <w:rFonts w:hint="eastAsia" w:ascii="仿宋_GB2312" w:hAnsi="微软雅黑" w:eastAsia="仿宋_GB2312"/>
          <w:color w:val="121212"/>
          <w:sz w:val="32"/>
          <w:szCs w:val="32"/>
        </w:rPr>
        <w:t>农村供水工程全面实行收费制度。新禹公司对水费收缴率低的工程强化计收管理，对未收费工程限期定价计收。推广智能远传水表和预付水费模式，开通线上缴费渠道，提升收缴率。</w:t>
      </w:r>
    </w:p>
    <w:p w14:paraId="74F4F329">
      <w:pPr>
        <w:pStyle w:val="14"/>
        <w:shd w:val="clear" w:color="auto" w:fill="FFFFFF"/>
        <w:spacing w:before="0" w:beforeAutospacing="0" w:after="0" w:afterAutospacing="0"/>
        <w:ind w:firstLine="638"/>
        <w:jc w:val="both"/>
        <w:rPr>
          <w:rFonts w:ascii="仿宋_GB2312" w:hAnsi="微软雅黑" w:eastAsia="仿宋_GB2312"/>
          <w:color w:val="121212"/>
          <w:sz w:val="32"/>
          <w:szCs w:val="32"/>
        </w:rPr>
      </w:pPr>
      <w:r>
        <w:rPr>
          <w:rStyle w:val="18"/>
          <w:rFonts w:hint="eastAsia" w:ascii="仿宋_GB2312" w:hAnsi="微软雅黑" w:eastAsia="仿宋_GB2312"/>
          <w:color w:val="121212"/>
          <w:sz w:val="32"/>
          <w:szCs w:val="32"/>
        </w:rPr>
        <w:t>6.健全补贴机制。</w:t>
      </w:r>
      <w:r>
        <w:rPr>
          <w:rFonts w:hint="eastAsia" w:ascii="仿宋_GB2312" w:hAnsi="微软雅黑" w:eastAsia="仿宋_GB2312"/>
          <w:color w:val="121212"/>
          <w:sz w:val="32"/>
          <w:szCs w:val="32"/>
        </w:rPr>
        <w:t>县财政保障县级农村供水维修基金和乡级农村供水管护基金</w:t>
      </w:r>
      <w:r>
        <w:rPr>
          <w:rFonts w:hint="eastAsia" w:ascii="仿宋_GB2312" w:hAnsi="微软雅黑" w:eastAsia="仿宋_GB2312"/>
          <w:color w:val="121212"/>
          <w:sz w:val="32"/>
          <w:szCs w:val="32"/>
          <w:lang w:eastAsia="zh-CN"/>
        </w:rPr>
        <w:t>，统筹安排农村供水工程运行维修养护、水质检测、水源地保护等资金，纳入年度财政预算并加强资金使用监管，确保专款专用</w:t>
      </w:r>
      <w:r>
        <w:rPr>
          <w:rFonts w:hint="eastAsia" w:ascii="仿宋_GB2312" w:hAnsi="微软雅黑" w:eastAsia="仿宋_GB2312"/>
          <w:color w:val="121212"/>
          <w:sz w:val="32"/>
          <w:szCs w:val="32"/>
        </w:rPr>
        <w:t>。</w:t>
      </w:r>
    </w:p>
    <w:p w14:paraId="4AF8488D">
      <w:pPr>
        <w:spacing w:line="560" w:lineRule="exact"/>
        <w:ind w:firstLine="640" w:firstLineChars="200"/>
        <w:rPr>
          <w:rFonts w:hint="eastAsia"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责任单位：</w:t>
      </w:r>
      <w:r>
        <w:rPr>
          <w:rFonts w:hint="eastAsia" w:ascii="仿宋_GB2312" w:hAnsi="微软雅黑" w:eastAsia="仿宋_GB2312" w:cs="宋体"/>
          <w:color w:val="121212"/>
          <w:kern w:val="0"/>
          <w:sz w:val="32"/>
          <w:szCs w:val="32"/>
          <w:highlight w:val="none"/>
          <w14:ligatures w14:val="none"/>
        </w:rPr>
        <w:t>财政局、县</w:t>
      </w:r>
      <w:r>
        <w:rPr>
          <w:rFonts w:hint="eastAsia" w:ascii="仿宋_GB2312" w:hAnsi="微软雅黑" w:eastAsia="仿宋_GB2312" w:cs="宋体"/>
          <w:color w:val="121212"/>
          <w:kern w:val="0"/>
          <w:sz w:val="32"/>
          <w:szCs w:val="32"/>
          <w14:ligatures w14:val="none"/>
        </w:rPr>
        <w:t>新禹水利发展投资有限责任公司</w:t>
      </w:r>
    </w:p>
    <w:p w14:paraId="32042709">
      <w:pPr>
        <w:spacing w:line="560" w:lineRule="exact"/>
        <w:ind w:firstLine="640" w:firstLineChars="200"/>
        <w:rPr>
          <w:rFonts w:hint="eastAsia"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配合单位：地区生态环境局托里县分局、各乡镇人民政府、卫健委、疾控中心、水利局</w:t>
      </w:r>
    </w:p>
    <w:p w14:paraId="10F8957D">
      <w:pPr>
        <w:spacing w:line="560" w:lineRule="exact"/>
        <w:ind w:firstLine="640" w:firstLineChars="200"/>
        <w:rPr>
          <w:rFonts w:hint="eastAsia" w:ascii="仿宋_GB2312" w:hAnsi="微软雅黑" w:eastAsia="仿宋_GB2312" w:cs="宋体"/>
          <w:color w:val="121212"/>
          <w:kern w:val="0"/>
          <w:sz w:val="32"/>
          <w:szCs w:val="32"/>
          <w14:ligatures w14:val="none"/>
        </w:rPr>
      </w:pPr>
      <w:r>
        <w:rPr>
          <w:rFonts w:hint="eastAsia" w:ascii="仿宋_GB2312" w:hAnsi="微软雅黑" w:eastAsia="仿宋_GB2312" w:cs="宋体"/>
          <w:color w:val="121212"/>
          <w:kern w:val="0"/>
          <w:sz w:val="32"/>
          <w:szCs w:val="32"/>
          <w14:ligatures w14:val="none"/>
        </w:rPr>
        <w:t>完成时限：2026年12月中旬。</w:t>
      </w:r>
    </w:p>
    <w:p w14:paraId="74215DC8">
      <w:pPr>
        <w:pStyle w:val="14"/>
        <w:shd w:val="clear" w:color="auto" w:fill="FFFFFF"/>
        <w:spacing w:before="0" w:beforeAutospacing="0" w:after="0" w:afterAutospacing="0"/>
        <w:ind w:firstLine="480"/>
        <w:jc w:val="both"/>
        <w:rPr>
          <w:rStyle w:val="18"/>
          <w:rFonts w:hint="eastAsia" w:ascii="楷体_GB2312" w:eastAsia="楷体_GB2312"/>
          <w:sz w:val="32"/>
          <w:szCs w:val="32"/>
        </w:rPr>
      </w:pPr>
      <w:r>
        <w:rPr>
          <w:rStyle w:val="18"/>
          <w:rFonts w:hint="eastAsia" w:ascii="楷体_GB2312" w:hAnsi="微软雅黑" w:eastAsia="楷体_GB2312"/>
          <w:color w:val="121212"/>
          <w:sz w:val="32"/>
          <w:szCs w:val="32"/>
        </w:rPr>
        <w:t>（四）推进计量收费改革，构建长效运营机制</w:t>
      </w:r>
    </w:p>
    <w:p w14:paraId="526696F9">
      <w:pPr>
        <w:spacing w:line="560" w:lineRule="exact"/>
        <w:ind w:firstLine="640"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1.实施计量设施智能化改造。新禹公司制定计量设施升级改造专项方案，全面完成未安装水表用户智能水表加装及升级改造，搭建远程抄表系统，实现用水量实时监测、数据自动上传和异常预警，降低漏损率。</w:t>
      </w:r>
    </w:p>
    <w:p w14:paraId="44BAA2AD">
      <w:pPr>
        <w:spacing w:line="560" w:lineRule="exact"/>
        <w:ind w:firstLine="640"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规范水费收缴管理。与各乡镇、村队签订供水量价协议，建立欠缴水费台账，推行“分期补缴、结对帮缴、优惠激励”等多元化清缴措施，回收历史欠缴水费；健全水费收缴考核机制，将水费收缴率纳入乡镇、村队年度绩效考核，确保水费收缴率提升至85%以上。</w:t>
      </w:r>
    </w:p>
    <w:p w14:paraId="46FFA6FB">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责任单位：</w:t>
      </w:r>
      <w:r>
        <w:rPr>
          <w:rFonts w:hint="eastAsia" w:ascii="仿宋_GB2312" w:hAnsi="微软雅黑" w:eastAsia="仿宋_GB2312" w:cs="宋体"/>
          <w:color w:val="121212"/>
          <w:kern w:val="0"/>
          <w:sz w:val="32"/>
          <w:szCs w:val="32"/>
          <w14:ligatures w14:val="none"/>
        </w:rPr>
        <w:t>县新禹水利发展投资有限责任公司</w:t>
      </w:r>
    </w:p>
    <w:p w14:paraId="58B5C6BF">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配合单位：</w:t>
      </w:r>
      <w:r>
        <w:rPr>
          <w:rFonts w:hint="eastAsia" w:ascii="仿宋_GB2312" w:hAnsi="仿宋_GB2312" w:eastAsia="仿宋_GB2312" w:cs="仿宋_GB2312"/>
          <w:sz w:val="32"/>
          <w:szCs w:val="32"/>
          <w14:ligatures w14:val="none"/>
        </w:rPr>
        <w:t>各乡镇人民政府、财政局、县水利局</w:t>
      </w:r>
    </w:p>
    <w:p w14:paraId="3CADC939">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完成时限：</w:t>
      </w:r>
      <w:r>
        <w:rPr>
          <w:rFonts w:hint="eastAsia" w:ascii="仿宋_GB2312" w:hAnsi="仿宋_GB2312" w:eastAsia="仿宋_GB2312" w:cs="仿宋_GB2312"/>
          <w:sz w:val="32"/>
          <w:szCs w:val="32"/>
          <w14:ligatures w14:val="none"/>
        </w:rPr>
        <w:t>2026年12月中旬</w:t>
      </w:r>
    </w:p>
    <w:p w14:paraId="720D608D">
      <w:pPr>
        <w:pStyle w:val="14"/>
        <w:shd w:val="clear" w:color="auto" w:fill="FFFFFF"/>
        <w:spacing w:before="0" w:beforeAutospacing="0" w:after="0" w:afterAutospacing="0"/>
        <w:jc w:val="both"/>
        <w:rPr>
          <w:rFonts w:hint="eastAsia" w:ascii="楷体_GB2312" w:hAnsi="微软雅黑" w:eastAsia="楷体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（五）健全应急供水保障体系</w:t>
      </w:r>
    </w:p>
    <w:p w14:paraId="74EEA1F9">
      <w:pPr>
        <w:spacing w:line="560" w:lineRule="exact"/>
        <w:ind w:firstLine="640"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完善应急管理体系。修编县级农村供水应急保障预案，督促各运营单位编制相关应急保障预案，建立“县政府统一指挥、行业部门监督、供水企业执行、乡镇协同配合”的应急联动机制，明确各单位职责分工和响应流程；供水运营管理单位针对7个单村供水村队和偏远村队，制定“一村一应急方案”，细化洪水、干旱、严寒、污染等不同场景的应急处置措施。</w:t>
      </w:r>
    </w:p>
    <w:p w14:paraId="01C8B6BC">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责任单位：</w:t>
      </w:r>
      <w:r>
        <w:rPr>
          <w:rFonts w:hint="eastAsia" w:ascii="仿宋_GB2312" w:hAnsi="仿宋_GB2312" w:eastAsia="仿宋_GB2312" w:cs="仿宋_GB2312"/>
          <w:sz w:val="32"/>
          <w:szCs w:val="32"/>
          <w14:ligatures w14:val="none"/>
        </w:rPr>
        <w:t>县水利局</w:t>
      </w:r>
    </w:p>
    <w:p w14:paraId="0C1705B8">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配合单位：</w:t>
      </w:r>
      <w:r>
        <w:rPr>
          <w:rFonts w:hint="eastAsia" w:ascii="仿宋_GB2312" w:hAnsi="仿宋_GB2312" w:eastAsia="仿宋_GB2312" w:cs="仿宋_GB2312"/>
          <w:sz w:val="32"/>
          <w:szCs w:val="32"/>
          <w14:ligatures w14:val="none"/>
        </w:rPr>
        <w:t>各乡镇人民政府、财政局、应急管理局、县</w:t>
      </w:r>
      <w:r>
        <w:rPr>
          <w:rFonts w:hint="eastAsia" w:ascii="仿宋_GB2312" w:hAnsi="微软雅黑" w:eastAsia="仿宋_GB2312" w:cs="宋体"/>
          <w:color w:val="121212"/>
          <w:kern w:val="0"/>
          <w:sz w:val="32"/>
          <w:szCs w:val="32"/>
          <w14:ligatures w14:val="none"/>
        </w:rPr>
        <w:t>新禹水利发展投资有限责任公司</w:t>
      </w:r>
    </w:p>
    <w:p w14:paraId="6A4318E5">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完成时限：</w:t>
      </w:r>
      <w:r>
        <w:rPr>
          <w:rFonts w:hint="eastAsia" w:ascii="仿宋_GB2312" w:hAnsi="仿宋_GB2312" w:eastAsia="仿宋_GB2312" w:cs="仿宋_GB2312"/>
          <w:sz w:val="32"/>
          <w:szCs w:val="32"/>
          <w14:ligatures w14:val="none"/>
        </w:rPr>
        <w:t>2026年12月中旬</w:t>
      </w:r>
    </w:p>
    <w:p w14:paraId="67674A04">
      <w:pPr>
        <w:pStyle w:val="14"/>
        <w:shd w:val="clear" w:color="auto" w:fill="FFFFFF"/>
        <w:spacing w:before="0" w:beforeAutospacing="0" w:after="0" w:afterAutospacing="0"/>
        <w:ind w:firstLine="643" w:firstLineChars="200"/>
        <w:jc w:val="both"/>
        <w:rPr>
          <w:rFonts w:hint="eastAsia" w:ascii="楷体_GB2312" w:hAnsi="微软雅黑" w:eastAsia="楷体_GB2312"/>
          <w:b/>
          <w:bCs/>
          <w:sz w:val="32"/>
          <w:szCs w:val="32"/>
        </w:rPr>
      </w:pPr>
      <w:r>
        <w:rPr>
          <w:rFonts w:hint="eastAsia" w:ascii="楷体_GB2312" w:hAnsi="微软雅黑" w:eastAsia="楷体_GB2312"/>
          <w:b/>
          <w:bCs/>
          <w:sz w:val="32"/>
          <w:szCs w:val="32"/>
        </w:rPr>
        <w:t>（六）加强政策宣传引导，激发群众参与活力</w:t>
      </w:r>
    </w:p>
    <w:p w14:paraId="008F7045">
      <w:pPr>
        <w:spacing w:line="560" w:lineRule="exact"/>
        <w:ind w:firstLine="640"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强化政策宣传解读。制定农村饮水安全政策宣传专项方案，组建由乡镇干部、村干部、供水企业人员组成的宣传队，通过村民大会、短视频、宣传手册、入户讲解等多种形式，宣传县域统管优势、缴费义务及惠民政策，消除群众认知误区。</w:t>
      </w:r>
    </w:p>
    <w:p w14:paraId="19D2C15D">
      <w:pPr>
        <w:spacing w:line="560" w:lineRule="exact"/>
        <w:ind w:firstLine="640"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2.健全群众参与机制。全面推广“村民用水议事会”制度，邀请村民代表参与供水管理决策、设施管护监督和水费</w:t>
      </w:r>
      <w:r>
        <w:rPr>
          <w:rFonts w:hint="eastAsia" w:ascii="仿宋_GB2312" w:hAnsi="仿宋_GB2312" w:eastAsia="仿宋_GB2312" w:cs="仿宋_GB2312"/>
          <w:sz w:val="32"/>
          <w:szCs w:val="32"/>
          <w:lang w:val="en-US" w:eastAsia="zh-CN"/>
          <w14:ligatures w14:val="none"/>
        </w:rPr>
        <w:t>由县人民政府</w:t>
      </w:r>
      <w:r>
        <w:rPr>
          <w:rFonts w:hint="eastAsia" w:ascii="仿宋_GB2312" w:hAnsi="仿宋_GB2312" w:eastAsia="仿宋_GB2312" w:cs="仿宋_GB2312"/>
          <w:sz w:val="32"/>
          <w:szCs w:val="32"/>
          <w14:ligatures w14:val="none"/>
        </w:rPr>
        <w:t>定价；各相关管理单位要畅通反馈渠道，建立便民政务平台，通过发放“明白卡”、电话回访等方式，形成“群众诉求—派单整改—跟踪回访”闭环机制。</w:t>
      </w:r>
    </w:p>
    <w:p w14:paraId="4550CC67">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责任单位：</w:t>
      </w:r>
      <w:r>
        <w:rPr>
          <w:rFonts w:hint="eastAsia" w:ascii="仿宋_GB2312" w:hAnsi="仿宋_GB2312" w:eastAsia="仿宋_GB2312" w:cs="仿宋_GB2312"/>
          <w:sz w:val="32"/>
          <w:szCs w:val="32"/>
          <w14:ligatures w14:val="none"/>
        </w:rPr>
        <w:t>宣传部</w:t>
      </w:r>
    </w:p>
    <w:p w14:paraId="47BE5290">
      <w:pPr>
        <w:spacing w:line="560" w:lineRule="exact"/>
        <w:ind w:firstLine="643" w:firstLineChars="200"/>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配合单位：</w:t>
      </w:r>
      <w:r>
        <w:rPr>
          <w:rFonts w:hint="eastAsia" w:ascii="仿宋_GB2312" w:hAnsi="仿宋_GB2312" w:eastAsia="仿宋_GB2312" w:cs="仿宋_GB2312"/>
          <w:sz w:val="32"/>
          <w:szCs w:val="32"/>
          <w14:ligatures w14:val="none"/>
        </w:rPr>
        <w:t>各乡镇人民政府、发改委、财政局、政务服务中心、水利局、农业农村局、</w:t>
      </w:r>
      <w:r>
        <w:rPr>
          <w:rFonts w:hint="eastAsia" w:ascii="仿宋_GB2312" w:hAnsi="微软雅黑" w:eastAsia="仿宋_GB2312" w:cs="宋体"/>
          <w:color w:val="121212"/>
          <w:kern w:val="0"/>
          <w:sz w:val="32"/>
          <w:szCs w:val="32"/>
          <w14:ligatures w14:val="none"/>
        </w:rPr>
        <w:t>县新禹水利发展投资有限责任公司</w:t>
      </w:r>
    </w:p>
    <w:p w14:paraId="7A773EA5">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仿宋_GB2312" w:eastAsia="仿宋_GB2312" w:cs="仿宋_GB2312"/>
          <w:b/>
          <w:bCs/>
          <w:kern w:val="2"/>
          <w:sz w:val="32"/>
          <w:szCs w:val="32"/>
        </w:rPr>
        <w:t>完成时限：</w:t>
      </w:r>
      <w:r>
        <w:rPr>
          <w:rFonts w:hint="eastAsia" w:ascii="仿宋_GB2312" w:hAnsi="仿宋_GB2312" w:eastAsia="仿宋_GB2312" w:cs="仿宋_GB2312"/>
          <w:kern w:val="2"/>
          <w:sz w:val="32"/>
          <w:szCs w:val="32"/>
        </w:rPr>
        <w:t>2026年12月底前并长期坚持</w:t>
      </w:r>
    </w:p>
    <w:p w14:paraId="4BAB3FC5">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黑体" w:hAnsi="黑体" w:eastAsia="黑体"/>
          <w:color w:val="121212"/>
          <w:sz w:val="32"/>
          <w:szCs w:val="32"/>
        </w:rPr>
        <w:t>　　</w:t>
      </w:r>
      <w:r>
        <w:rPr>
          <w:rStyle w:val="18"/>
          <w:rFonts w:hint="eastAsia" w:ascii="黑体" w:hAnsi="黑体" w:eastAsia="黑体"/>
          <w:color w:val="121212"/>
          <w:sz w:val="32"/>
          <w:szCs w:val="32"/>
        </w:rPr>
        <w:t>五、实施步骤</w:t>
      </w:r>
    </w:p>
    <w:p w14:paraId="03BA3DEA">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（一）确定统管机构。</w:t>
      </w:r>
      <w:r>
        <w:rPr>
          <w:rFonts w:hint="eastAsia" w:ascii="仿宋_GB2312" w:hAnsi="微软雅黑" w:eastAsia="仿宋_GB2312"/>
          <w:color w:val="121212"/>
          <w:sz w:val="32"/>
          <w:szCs w:val="32"/>
        </w:rPr>
        <w:t>2026年5月底前，明晰县域统管机构服务范围、标准、责任及权利义务。（牵头单位：县域统管推进专班；责任单位：政府办、水利局）</w:t>
      </w:r>
    </w:p>
    <w:p w14:paraId="1AE5E937">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（二）调查摸底。</w:t>
      </w:r>
      <w:r>
        <w:rPr>
          <w:rFonts w:hint="eastAsia" w:ascii="仿宋_GB2312" w:hAnsi="微软雅黑" w:eastAsia="仿宋_GB2312"/>
          <w:color w:val="121212"/>
          <w:sz w:val="32"/>
          <w:szCs w:val="32"/>
        </w:rPr>
        <w:t>202</w:t>
      </w:r>
      <w:r>
        <w:rPr>
          <w:rFonts w:hint="eastAsia" w:ascii="仿宋_GB2312" w:hAnsi="微软雅黑" w:eastAsia="仿宋_GB2312"/>
          <w:color w:val="121212"/>
          <w:sz w:val="32"/>
          <w:szCs w:val="32"/>
          <w:lang w:val="en-US" w:eastAsia="zh-CN"/>
        </w:rPr>
        <w:t>6</w:t>
      </w:r>
      <w:r>
        <w:rPr>
          <w:rFonts w:hint="eastAsia" w:ascii="仿宋_GB2312" w:hAnsi="微软雅黑" w:eastAsia="仿宋_GB2312"/>
          <w:color w:val="121212"/>
          <w:sz w:val="32"/>
          <w:szCs w:val="32"/>
        </w:rPr>
        <w:t>年7月底前，对各乡镇（街道）、村供水情况进行摸底调查、登记造册，逐村逐组确定已建成设施、拟改建设施、主支管网数量和规格，逐村逐户确定供水方式，全面摸排供水承包合同、年限、投资和运维等情况，为县域统管总体布局提供详实依据。（牵头单位：县水利局；责任单位：各乡镇、县财政局、县新禹水利发展投资有限责任公司）</w:t>
      </w:r>
    </w:p>
    <w:p w14:paraId="0130A718">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（三）资产清算。</w:t>
      </w:r>
      <w:r>
        <w:rPr>
          <w:rFonts w:hint="eastAsia" w:ascii="仿宋_GB2312" w:hAnsi="微软雅黑" w:eastAsia="仿宋_GB2312"/>
          <w:color w:val="121212"/>
          <w:sz w:val="32"/>
          <w:szCs w:val="32"/>
        </w:rPr>
        <w:t>202</w:t>
      </w:r>
      <w:r>
        <w:rPr>
          <w:rFonts w:hint="eastAsia" w:ascii="仿宋_GB2312" w:hAnsi="微软雅黑" w:eastAsia="仿宋_GB2312"/>
          <w:color w:val="121212"/>
          <w:sz w:val="32"/>
          <w:szCs w:val="32"/>
          <w:lang w:val="en-US" w:eastAsia="zh-CN"/>
        </w:rPr>
        <w:t>6</w:t>
      </w:r>
      <w:r>
        <w:rPr>
          <w:rFonts w:hint="eastAsia" w:ascii="仿宋_GB2312" w:hAnsi="微软雅黑" w:eastAsia="仿宋_GB2312"/>
          <w:color w:val="121212"/>
          <w:sz w:val="32"/>
          <w:szCs w:val="32"/>
        </w:rPr>
        <w:t>年9月底前，成立资产清查小组，聘请第三方机构开展评估，明确资产所有权和资产价值，出具清产核资报告，厘清国有投资和供水企业投资情况。（牵头单位：县域统管推进专班；责任单位：各乡镇、财政局、水利局、县新禹水利发展投资有限责任公司）</w:t>
      </w:r>
    </w:p>
    <w:p w14:paraId="4286FB77">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（四）收回管理。</w:t>
      </w:r>
      <w:r>
        <w:rPr>
          <w:rFonts w:hint="eastAsia" w:ascii="仿宋_GB2312" w:hAnsi="微软雅黑" w:eastAsia="仿宋_GB2312"/>
          <w:color w:val="121212"/>
          <w:sz w:val="32"/>
          <w:szCs w:val="32"/>
        </w:rPr>
        <w:t>202</w:t>
      </w:r>
      <w:r>
        <w:rPr>
          <w:rFonts w:hint="eastAsia" w:ascii="仿宋_GB2312" w:hAnsi="微软雅黑" w:eastAsia="仿宋_GB2312"/>
          <w:color w:val="121212"/>
          <w:sz w:val="32"/>
          <w:szCs w:val="32"/>
          <w:lang w:val="en-US" w:eastAsia="zh-CN"/>
        </w:rPr>
        <w:t>6</w:t>
      </w:r>
      <w:r>
        <w:rPr>
          <w:rFonts w:hint="eastAsia" w:ascii="仿宋_GB2312" w:hAnsi="微软雅黑" w:eastAsia="仿宋_GB2312"/>
          <w:color w:val="121212"/>
          <w:sz w:val="32"/>
          <w:szCs w:val="32"/>
        </w:rPr>
        <w:t>年10月底前，各乡镇和新禹公司依据调查摸底和资产清算结果，通过公开、公平的市场化方式，签订收回管理协议，依法推动原有社会资本有序退出，保障供水安全和社会稳定。（牵头单位：县域统管机构；责任单位：各乡镇、水利局、县新禹水利发展投资有限责任公司）</w:t>
      </w:r>
    </w:p>
    <w:p w14:paraId="4F69E377">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（五）规范服务。</w:t>
      </w:r>
      <w:r>
        <w:rPr>
          <w:rFonts w:hint="eastAsia" w:ascii="仿宋_GB2312" w:hAnsi="微软雅黑" w:eastAsia="仿宋_GB2312"/>
          <w:color w:val="121212"/>
          <w:sz w:val="32"/>
          <w:szCs w:val="32"/>
        </w:rPr>
        <w:t>202</w:t>
      </w:r>
      <w:r>
        <w:rPr>
          <w:rFonts w:hint="eastAsia" w:ascii="仿宋_GB2312" w:hAnsi="微软雅黑" w:eastAsia="仿宋_GB2312"/>
          <w:color w:val="121212"/>
          <w:sz w:val="32"/>
          <w:szCs w:val="32"/>
          <w:lang w:val="en-US" w:eastAsia="zh-CN"/>
        </w:rPr>
        <w:t>6</w:t>
      </w:r>
      <w:r>
        <w:rPr>
          <w:rFonts w:hint="eastAsia" w:ascii="仿宋_GB2312" w:hAnsi="微软雅黑" w:eastAsia="仿宋_GB2312"/>
          <w:color w:val="121212"/>
          <w:sz w:val="32"/>
          <w:szCs w:val="32"/>
        </w:rPr>
        <w:t>年11底前，县域统管机构规范从水源头到水龙头的全过程管理，组建专业管理队伍，设立服务中心，制定管理制度，统一服务标准，实现标准化管理。同时，完成全县农村供水县域统管智慧平台建设，公开服务热线，及时提供报装安装、收费服务、管网监测、漏水抢修、水压监测、供水调度等一站式服务。（牵头单位：县新禹水利发展投资有限责任公司；责任单位：各乡镇、财政局、水利局）</w:t>
      </w:r>
    </w:p>
    <w:p w14:paraId="2C482C5D">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（六）升级改造。</w:t>
      </w:r>
      <w:r>
        <w:rPr>
          <w:rFonts w:hint="eastAsia" w:ascii="仿宋_GB2312" w:hAnsi="微软雅黑" w:eastAsia="仿宋_GB2312"/>
          <w:color w:val="121212"/>
          <w:sz w:val="32"/>
          <w:szCs w:val="32"/>
        </w:rPr>
        <w:t>2026年12月底前，新禹公司会同县水利局、平台公司对未进行农村供水改造升级的乡镇，制定整体解决方案，利用专项债、水利发展资金和乡村振兴衔接资金，按照轻重缓急原则，对长期水质不稳定、不达标的老旧破损供水管网及供水设施进行升级改造，提升供水保障能力。（牵头单位：县新禹水利发展投资有限责任公司；责任单位：各乡镇、财政局、水利局）</w:t>
      </w:r>
    </w:p>
    <w:p w14:paraId="67DAC758">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（七）评估验收。</w:t>
      </w:r>
      <w:r>
        <w:rPr>
          <w:rFonts w:hint="eastAsia" w:ascii="仿宋_GB2312" w:hAnsi="微软雅黑" w:eastAsia="仿宋_GB2312"/>
          <w:color w:val="121212"/>
          <w:sz w:val="32"/>
          <w:szCs w:val="32"/>
        </w:rPr>
        <w:t>2026年12月底前，组织开展县级农村供水县域统管工作评估，评估内容包括企业服务质量、用户投诉处理情况、安全应急预案制定与执行情况、成本和价格控制情况、重要供水设施设备运维情况及特许经营协议履行情况等。（牵头单位：县域统管推进专班；责任单位：各乡镇、财政局、水利局、县新禹水利发展投资有限责任公司）</w:t>
      </w:r>
    </w:p>
    <w:p w14:paraId="4F1E79D2">
      <w:pPr>
        <w:pStyle w:val="14"/>
        <w:shd w:val="clear" w:color="auto" w:fill="FFFFFF"/>
        <w:spacing w:before="0" w:beforeAutospacing="0" w:after="0" w:afterAutospacing="0"/>
        <w:jc w:val="both"/>
        <w:rPr>
          <w:rFonts w:hint="eastAsia" w:ascii="黑体" w:hAnsi="黑体" w:eastAsia="黑体"/>
          <w:color w:val="121212"/>
          <w:sz w:val="32"/>
          <w:szCs w:val="32"/>
        </w:rPr>
      </w:pPr>
      <w:r>
        <w:rPr>
          <w:rFonts w:hint="eastAsia" w:ascii="黑体" w:hAnsi="黑体" w:eastAsia="黑体"/>
          <w:color w:val="121212"/>
          <w:sz w:val="32"/>
          <w:szCs w:val="32"/>
        </w:rPr>
        <w:t>　　</w:t>
      </w:r>
      <w:r>
        <w:rPr>
          <w:rStyle w:val="18"/>
          <w:rFonts w:hint="eastAsia" w:ascii="黑体" w:hAnsi="黑体" w:eastAsia="黑体"/>
          <w:color w:val="121212"/>
          <w:sz w:val="32"/>
          <w:szCs w:val="32"/>
        </w:rPr>
        <w:t>六、保障措施</w:t>
      </w:r>
    </w:p>
    <w:p w14:paraId="5F345AFC">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（一）加强组织领导。</w:t>
      </w:r>
      <w:r>
        <w:rPr>
          <w:rFonts w:hint="eastAsia" w:ascii="仿宋_GB2312" w:hAnsi="微软雅黑" w:eastAsia="仿宋_GB2312"/>
          <w:color w:val="121212"/>
          <w:sz w:val="32"/>
          <w:szCs w:val="32"/>
        </w:rPr>
        <w:t>成立新县农村供水县域统管推进专班，统筹推进农村供水县域统管工作。各乡镇、相关职能部门要积极配合，确保各项任务落实落细。</w:t>
      </w:r>
    </w:p>
    <w:p w14:paraId="76934C63">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Fonts w:hint="eastAsia" w:ascii="楷体_GB2312" w:hAnsi="微软雅黑" w:eastAsia="楷体_GB2312"/>
          <w:b/>
          <w:bCs/>
          <w:sz w:val="32"/>
          <w:szCs w:val="32"/>
        </w:rPr>
        <w:t>（二）完善工作机制。</w:t>
      </w:r>
      <w:r>
        <w:rPr>
          <w:rFonts w:hint="eastAsia" w:ascii="仿宋_GB2312" w:hAnsi="微软雅黑" w:eastAsia="仿宋_GB2312"/>
          <w:color w:val="121212"/>
          <w:sz w:val="32"/>
          <w:szCs w:val="32"/>
        </w:rPr>
        <w:t>建立会商机制，定期进行会商，协调解决难点问题，确保统管工作顺利推进。落实农村供水工程“ 三个责任”和“ 三项制度”；推进标准化、信息化建设，逐步实现在线监测监控和规模化水厂信息化管理。</w:t>
      </w:r>
    </w:p>
    <w:p w14:paraId="0BE65FD0">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仿宋_GB2312" w:hAnsi="微软雅黑" w:eastAsia="仿宋_GB2312"/>
          <w:color w:val="121212"/>
          <w:sz w:val="32"/>
          <w:szCs w:val="32"/>
        </w:rPr>
        <w:t>　</w:t>
      </w: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（三）加强宣传引导。</w:t>
      </w:r>
      <w:r>
        <w:rPr>
          <w:rFonts w:hint="eastAsia" w:ascii="仿宋_GB2312" w:hAnsi="微软雅黑" w:eastAsia="仿宋_GB2312"/>
          <w:color w:val="121212"/>
          <w:sz w:val="32"/>
          <w:szCs w:val="32"/>
        </w:rPr>
        <w:t>加大宣传力度，充分利用电视、网络、宣传册等方式，及时发布政策解读、工作成效等信息，提高农村群众的认知度和参与度，营造良好氛围。</w:t>
      </w:r>
    </w:p>
    <w:p w14:paraId="1FF66D21">
      <w:pPr>
        <w:pStyle w:val="14"/>
        <w:shd w:val="clear" w:color="auto" w:fill="FFFFFF"/>
        <w:spacing w:before="0" w:beforeAutospacing="0" w:after="0" w:afterAutospacing="0"/>
        <w:jc w:val="both"/>
        <w:rPr>
          <w:rFonts w:hint="eastAsia" w:ascii="仿宋_GB2312" w:hAnsi="微软雅黑" w:eastAsia="仿宋_GB2312"/>
          <w:color w:val="121212"/>
          <w:sz w:val="32"/>
          <w:szCs w:val="32"/>
        </w:rPr>
      </w:pPr>
      <w:r>
        <w:rPr>
          <w:rFonts w:hint="eastAsia" w:ascii="楷体_GB2312" w:hAnsi="微软雅黑" w:eastAsia="楷体_GB2312"/>
          <w:color w:val="121212"/>
          <w:sz w:val="32"/>
          <w:szCs w:val="32"/>
        </w:rPr>
        <w:t>　　</w:t>
      </w:r>
      <w:r>
        <w:rPr>
          <w:rStyle w:val="18"/>
          <w:rFonts w:hint="eastAsia" w:ascii="楷体_GB2312" w:hAnsi="楷体" w:eastAsia="楷体_GB2312"/>
          <w:color w:val="121212"/>
          <w:sz w:val="32"/>
          <w:szCs w:val="32"/>
        </w:rPr>
        <w:t>（四）严格监督考核。</w:t>
      </w:r>
      <w:r>
        <w:rPr>
          <w:rFonts w:hint="eastAsia" w:ascii="仿宋_GB2312" w:hAnsi="微软雅黑" w:eastAsia="仿宋_GB2312"/>
          <w:color w:val="121212"/>
          <w:sz w:val="32"/>
          <w:szCs w:val="32"/>
        </w:rPr>
        <w:t>将农村供水县域统管工作纳入最水资源刚性约束制度和年度考核目标，确保取得实效。县域统管推进专班要加强监督指导，适时通报工作进展，对工作推进不力、进度缓慢的予以重点督促，对成效显著的及时总结推广经验。</w:t>
      </w:r>
    </w:p>
    <w:p w14:paraId="1D777A99">
      <w:pPr>
        <w:rPr>
          <w:rFonts w:hint="eastAsia" w:ascii="仿宋_GB2312" w:eastAsia="仿宋_GB2312"/>
          <w:sz w:val="32"/>
          <w:szCs w:val="32"/>
        </w:rPr>
      </w:pPr>
    </w:p>
    <w:p w14:paraId="4412F2FA">
      <w:pPr>
        <w:rPr>
          <w:rFonts w:hint="eastAsia" w:ascii="仿宋_GB2312" w:eastAsia="仿宋_GB2312"/>
          <w:sz w:val="32"/>
          <w:szCs w:val="32"/>
        </w:rPr>
      </w:pPr>
    </w:p>
    <w:p w14:paraId="7238F2AB">
      <w:pPr>
        <w:rPr>
          <w:rFonts w:hint="eastAsia" w:ascii="仿宋_GB2312" w:eastAsia="仿宋_GB2312"/>
          <w:sz w:val="32"/>
          <w:szCs w:val="32"/>
        </w:rPr>
      </w:pPr>
    </w:p>
    <w:p w14:paraId="77700FDE">
      <w:pPr>
        <w:rPr>
          <w:rFonts w:hint="eastAsia" w:ascii="仿宋_GB2312" w:eastAsia="仿宋_GB2312"/>
          <w:sz w:val="32"/>
          <w:szCs w:val="32"/>
        </w:rPr>
      </w:pPr>
    </w:p>
    <w:p w14:paraId="0A5FAC53">
      <w:pPr>
        <w:rPr>
          <w:rFonts w:hint="eastAsia" w:ascii="仿宋_GB2312" w:eastAsia="仿宋_GB2312"/>
          <w:sz w:val="32"/>
          <w:szCs w:val="32"/>
        </w:rPr>
      </w:pPr>
    </w:p>
    <w:p w14:paraId="4AD1C6CE">
      <w:pPr>
        <w:rPr>
          <w:rFonts w:ascii="仿宋_GB2312" w:eastAsia="仿宋_GB2312"/>
          <w:sz w:val="32"/>
          <w:szCs w:val="32"/>
        </w:rPr>
      </w:pPr>
    </w:p>
    <w:p w14:paraId="62D4D539">
      <w:pPr>
        <w:rPr>
          <w:rFonts w:ascii="仿宋_GB2312" w:eastAsia="仿宋_GB2312"/>
          <w:sz w:val="32"/>
          <w:szCs w:val="32"/>
        </w:rPr>
      </w:pPr>
    </w:p>
    <w:p w14:paraId="45746504">
      <w:pPr>
        <w:rPr>
          <w:rFonts w:ascii="仿宋_GB2312" w:eastAsia="仿宋_GB2312"/>
          <w:sz w:val="32"/>
          <w:szCs w:val="32"/>
        </w:rPr>
      </w:pPr>
    </w:p>
    <w:p w14:paraId="3F350C1A">
      <w:pPr>
        <w:rPr>
          <w:rFonts w:ascii="仿宋_GB2312" w:eastAsia="仿宋_GB2312"/>
          <w:sz w:val="32"/>
          <w:szCs w:val="32"/>
        </w:rPr>
      </w:pPr>
    </w:p>
    <w:p w14:paraId="28D34AAC">
      <w:pPr>
        <w:rPr>
          <w:rFonts w:ascii="仿宋_GB2312" w:eastAsia="仿宋_GB2312"/>
          <w:sz w:val="32"/>
          <w:szCs w:val="32"/>
        </w:rPr>
      </w:pPr>
    </w:p>
    <w:p w14:paraId="7088F3F3">
      <w:pPr>
        <w:rPr>
          <w:rFonts w:ascii="仿宋_GB2312" w:eastAsia="仿宋_GB2312"/>
          <w:sz w:val="32"/>
          <w:szCs w:val="32"/>
        </w:rPr>
      </w:pPr>
    </w:p>
    <w:p w14:paraId="137DA74C">
      <w:pPr>
        <w:rPr>
          <w:rFonts w:ascii="仿宋_GB2312" w:eastAsia="仿宋_GB2312"/>
          <w:sz w:val="32"/>
          <w:szCs w:val="32"/>
        </w:rPr>
      </w:pPr>
    </w:p>
    <w:p w14:paraId="34F08C57">
      <w:pPr>
        <w:rPr>
          <w:rFonts w:ascii="仿宋_GB2312" w:eastAsia="仿宋_GB2312"/>
          <w:sz w:val="32"/>
          <w:szCs w:val="32"/>
        </w:rPr>
      </w:pPr>
    </w:p>
    <w:p w14:paraId="677429F4">
      <w:pPr>
        <w:rPr>
          <w:rFonts w:ascii="仿宋_GB2312" w:eastAsia="仿宋_GB2312"/>
          <w:sz w:val="32"/>
          <w:szCs w:val="32"/>
        </w:rPr>
      </w:pPr>
    </w:p>
    <w:p w14:paraId="6A585907">
      <w:pPr>
        <w:rPr>
          <w:rFonts w:ascii="仿宋_GB2312" w:eastAsia="仿宋_GB2312"/>
          <w:sz w:val="32"/>
          <w:szCs w:val="32"/>
        </w:rPr>
      </w:pPr>
    </w:p>
    <w:p w14:paraId="227E0C53">
      <w:pPr>
        <w:rPr>
          <w:rFonts w:ascii="仿宋_GB2312" w:eastAsia="仿宋_GB2312"/>
          <w:sz w:val="32"/>
          <w:szCs w:val="32"/>
        </w:rPr>
      </w:pPr>
    </w:p>
    <w:p w14:paraId="47040CE2">
      <w:pPr>
        <w:rPr>
          <w:rFonts w:ascii="仿宋_GB2312" w:eastAsia="仿宋_GB2312"/>
          <w:sz w:val="32"/>
          <w:szCs w:val="32"/>
        </w:rPr>
      </w:pPr>
    </w:p>
    <w:p w14:paraId="1E038EB9">
      <w:pPr>
        <w:rPr>
          <w:rFonts w:ascii="仿宋_GB2312" w:eastAsia="仿宋_GB2312"/>
          <w:sz w:val="32"/>
          <w:szCs w:val="32"/>
        </w:rPr>
      </w:pPr>
    </w:p>
    <w:p w14:paraId="1FDA1E92">
      <w:pPr>
        <w:rPr>
          <w:rFonts w:hint="eastAsia" w:ascii="仿宋_GB2312" w:eastAsia="仿宋_GB2312"/>
          <w:sz w:val="32"/>
          <w:szCs w:val="32"/>
        </w:rPr>
      </w:pPr>
    </w:p>
    <w:p w14:paraId="4F99E840">
      <w:pPr>
        <w:rPr>
          <w:rFonts w:hint="eastAsia" w:ascii="仿宋_GB2312" w:eastAsia="仿宋_GB2312"/>
          <w:sz w:val="32"/>
          <w:szCs w:val="32"/>
        </w:rPr>
      </w:pPr>
    </w:p>
    <w:p w14:paraId="4F78F582">
      <w:pPr>
        <w:rPr>
          <w:rFonts w:hint="eastAsia" w:ascii="仿宋_GB2312" w:eastAsia="仿宋_GB2312"/>
          <w:b/>
          <w:bCs/>
          <w:sz w:val="32"/>
          <w:szCs w:val="32"/>
        </w:rPr>
      </w:pPr>
      <w:r>
        <w:rPr>
          <w:rFonts w:hint="eastAsia" w:ascii="仿宋_GB2312" w:eastAsia="仿宋_GB2312"/>
          <w:b/>
          <w:bCs/>
          <w:sz w:val="32"/>
          <w:szCs w:val="32"/>
        </w:rPr>
        <w:t>【简明问答】《托里县农村供水县域统管实施方案》解读</w:t>
      </w:r>
    </w:p>
    <w:p w14:paraId="785EC66D">
      <w:pPr>
        <w:rPr>
          <w:rFonts w:hint="eastAsia" w:ascii="仿宋_GB2312" w:eastAsia="仿宋_GB2312"/>
          <w:sz w:val="32"/>
          <w:szCs w:val="32"/>
        </w:rPr>
      </w:pPr>
      <w:r>
        <w:fldChar w:fldCharType="begin"/>
      </w:r>
      <w:r>
        <w:instrText xml:space="preserve"> HYPERLINK "https://service.weibo.com/share/share.php?url=https%3A%2F%2Fwww.hnxx.gov.cn%2F2025%2F11-07%2F730103.html&amp;title=%E3%80%90%E7%AE%80%E6%98%8E%E9%97%AE%E7%AD%94%E3%80%91%E3%80%8A%E6%96%B0%E5%8E%BF%E5%86%9C%E6%9D%91%E4%BE%9B%E6%B0%B4%E5%8E%BF%E5%9F%9F%E7%BB%9F%E7%AE%A1%E5%AE%9E%E6%96%BD%E6%96%B9%E6%A1%88%E3%80%8B%E8%A7%A3%E8%AF%BB_%E6%96%B0%E5%8E%BF%E4%BA%BA%E6%B0%91%E6%94%BF%E5%BA%9C&amp;pic=&amp;appkey=" \t "_blank" \o "分享到新浪微博" </w:instrText>
      </w:r>
      <w:r>
        <w:fldChar w:fldCharType="separate"/>
      </w:r>
      <w:r>
        <w:rPr>
          <w:rStyle w:val="19"/>
          <w:rFonts w:hint="eastAsia" w:ascii="仿宋_GB2312" w:eastAsia="仿宋_GB2312"/>
          <w:sz w:val="32"/>
          <w:szCs w:val="32"/>
        </w:rPr>
        <w:t> </w:t>
      </w:r>
      <w:r>
        <w:rPr>
          <w:rStyle w:val="19"/>
          <w:rFonts w:hint="eastAsia" w:ascii="仿宋_GB2312" w:eastAsia="仿宋_GB2312"/>
          <w:sz w:val="32"/>
          <w:szCs w:val="32"/>
        </w:rPr>
        <w:fldChar w:fldCharType="end"/>
      </w:r>
      <w:r>
        <w:fldChar w:fldCharType="begin"/>
      </w:r>
      <w:r>
        <w:instrText xml:space="preserve"> HYPERLINK "http://sns.qzone.qq.com/cgi-bin/qzshare/cgi_qzshare_onekey?url=https%3A%2F%2Fwww.hnxx.gov.cn%2F2025%2F11-07%2F730103.html&amp;title=%E3%80%90%E7%AE%80%E6%98%8E%E9%97%AE%E7%AD%94%E3%80%91%E3%80%8A%E6%96%B0%E5%8E%BF%E5%86%9C%E6%9D%91%E4%BE%9B%E6%B0%B4%E5%8E%BF%E5%9F%9F%E7%BB%9F%E7%AE%A1%E5%AE%9E%E6%96%BD%E6%96%B9%E6%A1%88%E3%80%8B%E8%A7%A3%E8%AF%BB_%E6%96%B0%E5%8E%BF%E4%BA%BA%E6%B0%91%E6%94%BF%E5%BA%9C&amp;desc=%E3%80%8A%E6%96%B0%E5%8E%BF%E5%86%9C%E6%9D%91%E4%BE%9B%E6%B0%B4%E5%8E%BF%E5%9F%9F%E7%BB%9F%E7%AE%A1%E5%AE%9E%E6%96%BD%E6%96%B9%E6%A1%88%E3%80%8B%E5%87%BA%E5%8F%B0%E7%9A%84%E7%9B%AE%E6%A0%87%EF%BC%8C%E5%B0%B1%E6%98%AF%E9%80%9A%E8%BF%87%E7%B3%BB%E7%BB%9F%E6%80%A7%E6%94%B9%E9%9D%A9%E7%A0%B4%E8%A7%A3%E8%BF%87%E5%8E%BB%E5%86%9C%E6%9D%91%E4%BE%9B%E6%B0%B4%E9%9A%BE%E9%A2%98%EF%BC%8C%E5%BB%BA%E7%AB%8B%E4%B8%80%E4%B8%AA%E7%BB%9F%E4%B8%80%E3%80%81%E4%B8%93%E4%B8%9A%E3%80%81%E9%AB%98%E6%95%88%E7%9A%84%E7%8E%B0%E4%BB%A3%E5%8C%96%E4%BE%9B%E6%B0%B4%E6%9C%8D%E5%8A%A1%E4%BD%93%E7%B3%BB.&amp;summary=%E3%80%8A%E6%96%B0%E5%8E%BF%E5%86%9C%E6%9D%91%E4%BE%9B%E6%B0%B4%E5%8E%BF%E5%9F%9F%E7%BB%9F%E7%AE%A1%E5%AE%9E%E6%96%BD%E6%96%B9%E6%A1%88%E3%80%8B%E5%87%BA%E5%8F%B0%E7%9A%84%E7%9B%AE%E6%A0%87%EF%BC%8C%E5%B0%B1%E6%98%AF%E9%80%9A%E8%BF%87%E7%B3%BB%E7%BB%9F%E6%80%A7%E6%94%B9%E9%9D%A9%E7%A0%B4%E8%A7%A3%E8%BF%87%E5%8E%BB%E5%86%9C%E6%9D%91%E4%BE%9B%E6%B0%B4%E9%9A%BE%E9%A2%98%EF%BC%8C%E5%BB%BA%E7%AB%8B%E4%B8%80%E4%B8%AA%E7%BB%9F%E4%B8%80%E3%80%81%E4%B8%93%E4%B8%9A%E3%80%81%E9%AB%98%E6%95%88%E7%9A%84%E7%8E%B0%E4%BB%A3%E5%8C%96%E4%BE%9B%E6%B0%B4%E6%9C%8D%E5%8A%A1%E4%BD%93%E7%B3%BB.&amp;site=%E3%80%90%E7%AE%80%E6%98%8E%E9%97%AE%E7%AD%94%E3%80%91%E3%80%8A%E6%96%B0%E5%8E%BF%E5%86%9C%E6%9D%91%E4%BE%9B%E6%B0%B4%E5%8E%BF%E5%9F%9F%E7%BB%9F%E7%AE%A1%E5%AE%9E%E6%96%BD%E6%96%B9%E6%A1%88%E3%80%8B%E8%A7%A3%E8%AF%BB_%E6%96%B0%E5%8E%BF%E4%BA%BA%E6%B0%91%E6%94%BF%E5%BA%9C&amp;pics=" \t "_blank" \o "分享到QQ空间" </w:instrText>
      </w:r>
      <w:r>
        <w:fldChar w:fldCharType="separate"/>
      </w:r>
      <w:r>
        <w:rPr>
          <w:rStyle w:val="19"/>
          <w:rFonts w:hint="eastAsia" w:ascii="仿宋_GB2312" w:eastAsia="仿宋_GB2312"/>
          <w:sz w:val="32"/>
          <w:szCs w:val="32"/>
        </w:rPr>
        <w:t> </w:t>
      </w:r>
      <w:r>
        <w:rPr>
          <w:rStyle w:val="19"/>
          <w:rFonts w:hint="eastAsia" w:ascii="仿宋_GB2312" w:eastAsia="仿宋_GB2312"/>
          <w:sz w:val="32"/>
          <w:szCs w:val="32"/>
        </w:rPr>
        <w:fldChar w:fldCharType="end"/>
      </w:r>
    </w:p>
    <w:p w14:paraId="66EF40A7">
      <w:pPr>
        <w:rPr>
          <w:rFonts w:hint="eastAsia" w:ascii="仿宋_GB2312" w:eastAsia="仿宋_GB2312"/>
          <w:sz w:val="32"/>
          <w:szCs w:val="32"/>
        </w:rPr>
      </w:pPr>
      <w:r>
        <w:rPr>
          <w:rFonts w:hint="eastAsia" w:ascii="仿宋_GB2312" w:eastAsia="仿宋_GB2312"/>
          <w:sz w:val="32"/>
          <w:szCs w:val="32"/>
        </w:rPr>
        <w:t>　　《托里县农村供水县域统管实施方案》出台的目标，就是通过系统性改革破解过去农村供水“小散弱”难题，建立一个统一、专业、高效的现代化供水服务体系，让农村群众喝上“放心水、便捷水”，下面，我们通过问答、图表等多种形式解读如下。</w:t>
      </w:r>
    </w:p>
    <w:p w14:paraId="039026A8">
      <w:pPr>
        <w:rPr>
          <w:rFonts w:hint="eastAsia" w:ascii="仿宋_GB2312" w:eastAsia="仿宋_GB2312"/>
          <w:sz w:val="32"/>
          <w:szCs w:val="32"/>
        </w:rPr>
      </w:pPr>
      <w:r>
        <w:rPr>
          <w:rFonts w:hint="eastAsia" w:ascii="仿宋_GB2312" w:eastAsia="仿宋_GB2312"/>
          <w:b/>
          <w:bCs/>
          <w:sz w:val="32"/>
          <w:szCs w:val="32"/>
        </w:rPr>
        <w:t>一、目标是什么？</w:t>
      </w:r>
    </w:p>
    <w:p w14:paraId="4C27A24B">
      <w:pPr>
        <w:rPr>
          <w:rFonts w:hint="eastAsia" w:ascii="仿宋_GB2312" w:eastAsia="仿宋_GB2312"/>
          <w:sz w:val="32"/>
          <w:szCs w:val="32"/>
        </w:rPr>
      </w:pPr>
      <w:r>
        <w:rPr>
          <w:rFonts w:hint="eastAsia" w:ascii="仿宋_GB2312" w:eastAsia="仿宋_GB2312"/>
          <w:sz w:val="32"/>
          <w:szCs w:val="32"/>
        </w:rPr>
        <w:t>　　1. 构建“县域统管”。解决过去农村供水常出现“各自为政”问题，把全县供水资源“攥指成拳”，通过统一规划、建设、管理，实现城乡供水“一碗水端平”，这也是落实国家农村供水高质量发展要求的具体行动。</w:t>
      </w:r>
    </w:p>
    <w:p w14:paraId="2789F7FB">
      <w:pPr>
        <w:rPr>
          <w:rFonts w:hint="eastAsia" w:ascii="仿宋_GB2312" w:eastAsia="仿宋_GB2312"/>
          <w:sz w:val="32"/>
          <w:szCs w:val="32"/>
        </w:rPr>
      </w:pPr>
      <w:r>
        <w:rPr>
          <w:rFonts w:hint="eastAsia" w:ascii="仿宋_GB2312" w:eastAsia="仿宋_GB2312"/>
          <w:sz w:val="32"/>
          <w:szCs w:val="32"/>
        </w:rPr>
        <w:t>　　2. 明确达到效果。到2026年底，全县农村自来水普及率提升至92%，80%的农村人口能用上规模化供水；实现农村供水“六同”目标。</w:t>
      </w:r>
    </w:p>
    <w:p w14:paraId="72FB1EC3">
      <w:pPr>
        <w:rPr>
          <w:rFonts w:hint="eastAsia" w:ascii="仿宋_GB2312" w:eastAsia="仿宋_GB2312"/>
          <w:sz w:val="32"/>
          <w:szCs w:val="32"/>
        </w:rPr>
      </w:pPr>
      <w:r>
        <w:rPr>
          <w:rFonts w:hint="eastAsia" w:ascii="仿宋_GB2312" w:eastAsia="仿宋_GB2312"/>
          <w:b/>
          <w:bCs/>
          <w:sz w:val="32"/>
          <w:szCs w:val="32"/>
        </w:rPr>
        <w:t>二、适用范围哪些？</w:t>
      </w:r>
    </w:p>
    <w:p w14:paraId="26D82317">
      <w:pPr>
        <w:rPr>
          <w:rFonts w:hint="eastAsia" w:ascii="仿宋_GB2312" w:eastAsia="仿宋_GB2312"/>
          <w:sz w:val="32"/>
          <w:szCs w:val="32"/>
        </w:rPr>
      </w:pPr>
      <w:r>
        <w:rPr>
          <w:rFonts w:hint="eastAsia" w:ascii="仿宋_GB2312" w:eastAsia="仿宋_GB2312"/>
          <w:sz w:val="32"/>
          <w:szCs w:val="32"/>
        </w:rPr>
        <w:t>　　适用于托里县行政区域内所有农村供水工程及用水管理，包括：乡镇集中供水工程、跨行政村集中供水工程、单村（自然村）供水工程、管网延伸工程，以及公共自备井、群众自备井的规范化监管，覆盖农村居民、学校师生、农业生产配套及农村公共服务等全部用水主体。</w:t>
      </w:r>
    </w:p>
    <w:p w14:paraId="2B16C3A8">
      <w:pPr>
        <w:rPr>
          <w:rFonts w:hint="eastAsia" w:ascii="仿宋_GB2312" w:eastAsia="仿宋_GB2312"/>
          <w:sz w:val="32"/>
          <w:szCs w:val="32"/>
        </w:rPr>
      </w:pPr>
      <w:r>
        <w:rPr>
          <w:rFonts w:hint="eastAsia" w:ascii="仿宋_GB2312" w:eastAsia="仿宋_GB2312"/>
          <w:b/>
          <w:bCs/>
          <w:sz w:val="32"/>
          <w:szCs w:val="32"/>
        </w:rPr>
        <w:t>三、管理责任怎么分？</w:t>
      </w:r>
    </w:p>
    <w:p w14:paraId="235CD1CF">
      <w:pPr>
        <w:rPr>
          <w:rFonts w:hint="eastAsia" w:ascii="仿宋_GB2312" w:eastAsia="仿宋_GB2312"/>
          <w:sz w:val="32"/>
          <w:szCs w:val="32"/>
        </w:rPr>
      </w:pPr>
      <w:r>
        <w:rPr>
          <w:rFonts w:hint="eastAsia" w:ascii="仿宋_GB2312" w:eastAsia="仿宋_GB2312"/>
          <w:sz w:val="32"/>
          <w:szCs w:val="32"/>
        </w:rPr>
        <w:t>　　1.县级层面：县政府为县域统管责任主体，统筹资金、项目及政策保障；县水利局牵头统管工作，卫生健康委、生态环境分局、财政局等部门按职能履行水质监管、水源保护、资金保障等职责。</w:t>
      </w:r>
    </w:p>
    <w:p w14:paraId="3AE9BA81">
      <w:pPr>
        <w:rPr>
          <w:rFonts w:hint="eastAsia" w:ascii="仿宋_GB2312" w:eastAsia="仿宋_GB2312"/>
          <w:sz w:val="32"/>
          <w:szCs w:val="32"/>
        </w:rPr>
      </w:pPr>
      <w:r>
        <w:rPr>
          <w:rFonts w:hint="eastAsia" w:ascii="仿宋_GB2312" w:eastAsia="仿宋_GB2312"/>
          <w:sz w:val="32"/>
          <w:szCs w:val="32"/>
        </w:rPr>
        <w:t>　　2.运营层面：明确</w:t>
      </w:r>
      <w:r>
        <w:rPr>
          <w:rFonts w:hint="eastAsia" w:ascii="仿宋_GB2312" w:hAnsi="微软雅黑" w:eastAsia="仿宋_GB2312" w:cs="宋体"/>
          <w:color w:val="121212"/>
          <w:kern w:val="0"/>
          <w:sz w:val="32"/>
          <w:szCs w:val="32"/>
          <w14:ligatures w14:val="none"/>
        </w:rPr>
        <w:t>县新禹水利发展投资有限责任公司</w:t>
      </w:r>
      <w:r>
        <w:rPr>
          <w:rFonts w:hint="eastAsia" w:ascii="仿宋_GB2312" w:eastAsia="仿宋_GB2312"/>
          <w:sz w:val="32"/>
          <w:szCs w:val="32"/>
        </w:rPr>
        <w:t>为专业化统管主体，通过特许经营承接全县供水工程运营管理，承担水质保障、水费收缴、运维服务等责任。</w:t>
      </w:r>
    </w:p>
    <w:p w14:paraId="33A4CB91">
      <w:pPr>
        <w:rPr>
          <w:rFonts w:hint="eastAsia" w:ascii="仿宋_GB2312" w:eastAsia="仿宋_GB2312"/>
          <w:sz w:val="32"/>
          <w:szCs w:val="32"/>
        </w:rPr>
      </w:pPr>
      <w:r>
        <w:rPr>
          <w:rFonts w:hint="eastAsia" w:ascii="仿宋_GB2312" w:eastAsia="仿宋_GB2312"/>
          <w:sz w:val="32"/>
          <w:szCs w:val="32"/>
        </w:rPr>
        <w:t>　　3.乡镇村层面：乡镇负责辖区内工程协调与矛盾化解；村集体</w:t>
      </w:r>
      <w:r>
        <w:rPr>
          <w:rFonts w:hint="eastAsia" w:ascii="仿宋_GB2312" w:eastAsia="仿宋_GB2312"/>
          <w:sz w:val="32"/>
          <w:szCs w:val="32"/>
          <w:lang w:eastAsia="zh-CN"/>
        </w:rPr>
        <w:t>设立</w:t>
      </w:r>
      <w:r>
        <w:rPr>
          <w:rFonts w:hint="eastAsia" w:ascii="仿宋_GB2312" w:eastAsia="仿宋_GB2312"/>
          <w:sz w:val="32"/>
          <w:szCs w:val="32"/>
        </w:rPr>
        <w:t>专职管理员，协助开展入户服务与政策宣传，实现 “村级问题不出村”。</w:t>
      </w:r>
    </w:p>
    <w:p w14:paraId="5422584F">
      <w:pPr>
        <w:rPr>
          <w:rFonts w:hint="eastAsia" w:ascii="仿宋_GB2312" w:eastAsia="仿宋_GB2312"/>
          <w:sz w:val="32"/>
          <w:szCs w:val="32"/>
        </w:rPr>
      </w:pPr>
      <w:r>
        <w:rPr>
          <w:rFonts w:hint="eastAsia" w:ascii="仿宋_GB2312" w:eastAsia="仿宋_GB2312"/>
          <w:b/>
          <w:bCs/>
          <w:sz w:val="32"/>
          <w:szCs w:val="32"/>
        </w:rPr>
        <w:t>四、工程产权与管理如何衔接？</w:t>
      </w:r>
    </w:p>
    <w:p w14:paraId="44A2B859">
      <w:pPr>
        <w:rPr>
          <w:rFonts w:hint="eastAsia" w:ascii="仿宋_GB2312" w:eastAsia="仿宋_GB2312"/>
          <w:sz w:val="32"/>
          <w:szCs w:val="32"/>
        </w:rPr>
      </w:pPr>
      <w:r>
        <w:rPr>
          <w:rFonts w:hint="eastAsia" w:ascii="仿宋_GB2312" w:eastAsia="仿宋_GB2312"/>
          <w:sz w:val="32"/>
          <w:szCs w:val="32"/>
        </w:rPr>
        <w:t>　　</w:t>
      </w:r>
      <w:r>
        <w:rPr>
          <w:rFonts w:hint="eastAsia" w:ascii="仿宋_GB2312" w:hAnsi="微软雅黑" w:eastAsia="仿宋_GB2312"/>
          <w:color w:val="121212"/>
          <w:sz w:val="32"/>
          <w:szCs w:val="32"/>
        </w:rPr>
        <w:t>各乡镇和新禹公司依据调查摸底和资产清算结果，通过公开、公平的市场化方式，签订收回管理协议，</w:t>
      </w:r>
      <w:r>
        <w:rPr>
          <w:rFonts w:hint="eastAsia" w:ascii="仿宋_GB2312" w:eastAsia="仿宋_GB2312"/>
          <w:sz w:val="32"/>
          <w:szCs w:val="32"/>
        </w:rPr>
        <w:t>明确管护标准、服务承诺及考核细则，确保产权明晰、管理到位。</w:t>
      </w:r>
      <w:r>
        <w:rPr>
          <w:rFonts w:hint="eastAsia" w:ascii="仿宋_GB2312" w:hAnsi="微软雅黑" w:eastAsia="仿宋_GB2312"/>
          <w:color w:val="121212"/>
          <w:sz w:val="32"/>
          <w:szCs w:val="32"/>
        </w:rPr>
        <w:t>依法推动原有社会资本有序退出，保障供水安全和社会稳定</w:t>
      </w:r>
      <w:r>
        <w:rPr>
          <w:rFonts w:hint="eastAsia" w:ascii="仿宋_GB2312" w:eastAsia="仿宋_GB2312"/>
          <w:sz w:val="32"/>
          <w:szCs w:val="32"/>
        </w:rPr>
        <w:t>。</w:t>
      </w:r>
    </w:p>
    <w:p w14:paraId="31870C85">
      <w:pPr>
        <w:rPr>
          <w:rFonts w:hint="eastAsia" w:ascii="仿宋_GB2312" w:eastAsia="仿宋_GB2312"/>
          <w:sz w:val="32"/>
          <w:szCs w:val="32"/>
        </w:rPr>
      </w:pPr>
      <w:r>
        <w:rPr>
          <w:rFonts w:hint="eastAsia" w:ascii="仿宋_GB2312" w:eastAsia="仿宋_GB2312"/>
          <w:b/>
          <w:bCs/>
          <w:sz w:val="32"/>
          <w:szCs w:val="32"/>
        </w:rPr>
        <w:t>六、管理主体怎么建？</w:t>
      </w:r>
    </w:p>
    <w:p w14:paraId="24F80A28">
      <w:pPr>
        <w:rPr>
          <w:rFonts w:hint="eastAsia" w:ascii="仿宋_GB2312" w:eastAsia="仿宋_GB2312"/>
          <w:sz w:val="32"/>
          <w:szCs w:val="32"/>
        </w:rPr>
      </w:pPr>
      <w:r>
        <w:rPr>
          <w:rFonts w:hint="eastAsia" w:ascii="仿宋_GB2312" w:eastAsia="仿宋_GB2312"/>
          <w:sz w:val="32"/>
          <w:szCs w:val="32"/>
        </w:rPr>
        <w:t>　　1.千吨万人集中供水工程：实行“公司化运营+智慧化监管”，配备专业技术团队；</w:t>
      </w:r>
    </w:p>
    <w:p w14:paraId="5AAA7114">
      <w:pPr>
        <w:rPr>
          <w:rFonts w:hint="eastAsia" w:ascii="仿宋_GB2312" w:eastAsia="仿宋_GB2312"/>
          <w:sz w:val="32"/>
          <w:szCs w:val="32"/>
        </w:rPr>
      </w:pPr>
      <w:r>
        <w:rPr>
          <w:rFonts w:hint="eastAsia" w:ascii="仿宋_GB2312" w:eastAsia="仿宋_GB2312"/>
          <w:sz w:val="32"/>
          <w:szCs w:val="32"/>
        </w:rPr>
        <w:t>　　2.千吨万人以下集中供水工程：由新禹公司派驻管护专员，纳入统一调度体系；</w:t>
      </w:r>
    </w:p>
    <w:p w14:paraId="57C0F038">
      <w:pPr>
        <w:rPr>
          <w:rFonts w:hint="eastAsia" w:ascii="仿宋_GB2312" w:eastAsia="仿宋_GB2312"/>
          <w:sz w:val="32"/>
          <w:szCs w:val="32"/>
        </w:rPr>
      </w:pPr>
      <w:r>
        <w:rPr>
          <w:rFonts w:hint="eastAsia" w:ascii="仿宋_GB2312" w:eastAsia="仿宋_GB2312"/>
          <w:sz w:val="32"/>
          <w:szCs w:val="32"/>
        </w:rPr>
        <w:t>　　3.分散式供水工程：建立“公司指导 + 农户自管”机制，村级管理员每月巡检。</w:t>
      </w:r>
    </w:p>
    <w:p w14:paraId="1FCC7A06">
      <w:pPr>
        <w:rPr>
          <w:rFonts w:hint="eastAsia" w:ascii="仿宋_GB2312" w:eastAsia="仿宋_GB2312"/>
          <w:sz w:val="32"/>
          <w:szCs w:val="32"/>
        </w:rPr>
      </w:pPr>
      <w:r>
        <w:rPr>
          <w:rFonts w:hint="eastAsia" w:ascii="仿宋_GB2312" w:eastAsia="仿宋_GB2312"/>
          <w:b/>
          <w:bCs/>
          <w:sz w:val="32"/>
          <w:szCs w:val="32"/>
        </w:rPr>
        <w:t>七、水源水质安全怎么保障？</w:t>
      </w:r>
    </w:p>
    <w:p w14:paraId="0271FE51">
      <w:pPr>
        <w:rPr>
          <w:rFonts w:hint="eastAsia" w:ascii="仿宋_GB2312" w:eastAsia="仿宋_GB2312"/>
          <w:sz w:val="32"/>
          <w:szCs w:val="32"/>
        </w:rPr>
      </w:pPr>
      <w:r>
        <w:rPr>
          <w:rFonts w:hint="eastAsia" w:ascii="仿宋_GB2312" w:eastAsia="仿宋_GB2312"/>
          <w:sz w:val="32"/>
          <w:szCs w:val="32"/>
        </w:rPr>
        <w:t>　　1.水源保护：统一划定12处集中供水水源保护区及水源保护范围，设立警示标识，实行生态环境、水利部门联合巡查执法。</w:t>
      </w:r>
    </w:p>
    <w:p w14:paraId="6A361D80">
      <w:pPr>
        <w:rPr>
          <w:rFonts w:hint="eastAsia" w:ascii="仿宋_GB2312" w:eastAsia="仿宋_GB2312"/>
          <w:sz w:val="32"/>
          <w:szCs w:val="32"/>
        </w:rPr>
      </w:pPr>
      <w:r>
        <w:rPr>
          <w:rFonts w:hint="eastAsia" w:ascii="仿宋_GB2312" w:eastAsia="仿宋_GB2312"/>
          <w:sz w:val="32"/>
          <w:szCs w:val="32"/>
        </w:rPr>
        <w:t>　　2.水质检测：建立“公司自检+卫健抽检+第三方监测”三级机制，千吨万人工程日检关键指标，千吨万人以下工程周检，分散工程季度快检，检测费用全额纳入县财政预算。</w:t>
      </w:r>
    </w:p>
    <w:p w14:paraId="39169A8F">
      <w:pPr>
        <w:rPr>
          <w:rFonts w:hint="eastAsia" w:ascii="仿宋_GB2312" w:eastAsia="仿宋_GB2312"/>
          <w:sz w:val="32"/>
          <w:szCs w:val="32"/>
        </w:rPr>
      </w:pPr>
      <w:r>
        <w:rPr>
          <w:rFonts w:hint="eastAsia" w:ascii="仿宋_GB2312" w:eastAsia="仿宋_GB2312"/>
          <w:sz w:val="32"/>
          <w:szCs w:val="32"/>
        </w:rPr>
        <w:t>　　3.智慧防控：通过县域智慧供水平台实现水质数据实时上传，异常情况自动预警，处置响应时间压缩至2小时内。</w:t>
      </w:r>
    </w:p>
    <w:p w14:paraId="33342F60">
      <w:pPr>
        <w:rPr>
          <w:rFonts w:hint="eastAsia" w:ascii="仿宋_GB2312" w:eastAsia="仿宋_GB2312"/>
          <w:sz w:val="32"/>
          <w:szCs w:val="32"/>
        </w:rPr>
      </w:pPr>
      <w:r>
        <w:rPr>
          <w:rFonts w:hint="eastAsia" w:ascii="仿宋_GB2312" w:eastAsia="仿宋_GB2312"/>
          <w:b/>
          <w:bCs/>
          <w:sz w:val="32"/>
          <w:szCs w:val="32"/>
        </w:rPr>
        <w:t>八、水价怎么定？</w:t>
      </w:r>
    </w:p>
    <w:p w14:paraId="740A3E07">
      <w:pPr>
        <w:rPr>
          <w:rFonts w:hint="eastAsia" w:ascii="仿宋_GB2312" w:eastAsia="仿宋_GB2312"/>
          <w:sz w:val="32"/>
          <w:szCs w:val="32"/>
        </w:rPr>
      </w:pPr>
      <w:r>
        <w:rPr>
          <w:rFonts w:hint="eastAsia" w:ascii="仿宋_GB2312" w:eastAsia="仿宋_GB2312"/>
          <w:sz w:val="32"/>
          <w:szCs w:val="32"/>
        </w:rPr>
        <w:t>　　1.定价机制：由县</w:t>
      </w:r>
      <w:r>
        <w:rPr>
          <w:rFonts w:hint="eastAsia" w:ascii="仿宋_GB2312" w:eastAsia="仿宋_GB2312"/>
          <w:sz w:val="32"/>
          <w:szCs w:val="32"/>
          <w:lang w:val="en-US" w:eastAsia="zh-CN"/>
        </w:rPr>
        <w:t>发改</w:t>
      </w:r>
      <w:r>
        <w:rPr>
          <w:rFonts w:hint="eastAsia" w:ascii="仿宋_GB2312" w:eastAsia="仿宋_GB2312"/>
          <w:sz w:val="32"/>
          <w:szCs w:val="32"/>
        </w:rPr>
        <w:t>部门结合统管运营成本，分类核定居民生活用水、生产配套用水价格。</w:t>
      </w:r>
    </w:p>
    <w:p w14:paraId="47FA8FAC">
      <w:pPr>
        <w:rPr>
          <w:rFonts w:hint="eastAsia" w:ascii="仿宋_GB2312" w:eastAsia="仿宋_GB2312"/>
          <w:sz w:val="32"/>
          <w:szCs w:val="32"/>
        </w:rPr>
      </w:pPr>
      <w:r>
        <w:rPr>
          <w:rFonts w:hint="eastAsia" w:ascii="仿宋_GB2312" w:eastAsia="仿宋_GB2312"/>
          <w:sz w:val="32"/>
          <w:szCs w:val="32"/>
        </w:rPr>
        <w:t>　　2.收费服务：全域安装智能水表，开通微信、支付宝等线上缴费渠道，村级设立缴费代办点，实现“缴费不出村”。</w:t>
      </w:r>
    </w:p>
    <w:p w14:paraId="7266A082">
      <w:pPr>
        <w:rPr>
          <w:rFonts w:hint="eastAsia" w:ascii="仿宋_GB2312" w:eastAsia="仿宋_GB2312"/>
          <w:sz w:val="32"/>
          <w:szCs w:val="32"/>
        </w:rPr>
      </w:pPr>
      <w:r>
        <w:rPr>
          <w:rFonts w:hint="eastAsia" w:ascii="仿宋_GB2312" w:eastAsia="仿宋_GB2312"/>
          <w:sz w:val="32"/>
          <w:szCs w:val="32"/>
        </w:rPr>
        <w:t>　　3.补贴保障：建立财政补贴机制，县财政局要将农村供水维修养护经费和补贴纳入年度财政预算解决投入不足的问题，由县财政拨付，保障工程良性运行。</w:t>
      </w:r>
    </w:p>
    <w:p w14:paraId="66289210">
      <w:pPr>
        <w:rPr>
          <w:rFonts w:hint="eastAsia" w:ascii="仿宋_GB2312" w:eastAsia="仿宋_GB2312"/>
          <w:sz w:val="32"/>
          <w:szCs w:val="32"/>
        </w:rPr>
      </w:pPr>
      <w:r>
        <w:rPr>
          <w:rFonts w:hint="eastAsia" w:ascii="仿宋_GB2312" w:eastAsia="仿宋_GB2312"/>
          <w:b/>
          <w:bCs/>
          <w:sz w:val="32"/>
          <w:szCs w:val="32"/>
        </w:rPr>
        <w:t>九、水管坏了找谁修？</w:t>
      </w:r>
    </w:p>
    <w:p w14:paraId="3D784CF3">
      <w:pPr>
        <w:rPr>
          <w:rFonts w:hint="eastAsia" w:ascii="仿宋_GB2312" w:eastAsia="仿宋_GB2312"/>
          <w:sz w:val="32"/>
          <w:szCs w:val="32"/>
        </w:rPr>
      </w:pPr>
      <w:r>
        <w:rPr>
          <w:rFonts w:hint="eastAsia" w:ascii="仿宋_GB2312" w:eastAsia="仿宋_GB2312"/>
          <w:sz w:val="32"/>
          <w:szCs w:val="32"/>
        </w:rPr>
        <w:t>　　1.建立“线上巡检+智能预警”运维体系和“24小时热线+ 村级响应”服务体系；</w:t>
      </w:r>
    </w:p>
    <w:p w14:paraId="4B2CD7A6">
      <w:pPr>
        <w:rPr>
          <w:rFonts w:hint="eastAsia" w:ascii="仿宋_GB2312" w:eastAsia="仿宋_GB2312"/>
          <w:sz w:val="32"/>
          <w:szCs w:val="32"/>
        </w:rPr>
      </w:pPr>
      <w:r>
        <w:rPr>
          <w:rFonts w:hint="eastAsia" w:ascii="仿宋_GB2312" w:eastAsia="仿宋_GB2312"/>
          <w:sz w:val="32"/>
          <w:szCs w:val="32"/>
        </w:rPr>
        <w:t>　　2.提供报装、报修、咨询“一键响应”服务，城区维修30 分钟到场、乡村2小时到位。</w:t>
      </w:r>
    </w:p>
    <w:p w14:paraId="1259DF30">
      <w:pPr>
        <w:rPr>
          <w:rFonts w:hint="eastAsia" w:ascii="仿宋_GB2312" w:eastAsia="仿宋_GB2312"/>
          <w:sz w:val="32"/>
          <w:szCs w:val="32"/>
        </w:rPr>
      </w:pPr>
      <w:r>
        <w:rPr>
          <w:rFonts w:hint="eastAsia" w:ascii="仿宋_GB2312" w:eastAsia="仿宋_GB2312"/>
          <w:b/>
          <w:bCs/>
          <w:sz w:val="32"/>
          <w:szCs w:val="32"/>
        </w:rPr>
        <w:t>十、名词解释</w:t>
      </w:r>
    </w:p>
    <w:p w14:paraId="1CD3ECC9">
      <w:pPr>
        <w:rPr>
          <w:rFonts w:hint="eastAsia" w:ascii="仿宋_GB2312" w:eastAsia="仿宋_GB2312"/>
          <w:sz w:val="32"/>
          <w:szCs w:val="32"/>
        </w:rPr>
      </w:pPr>
      <w:r>
        <w:rPr>
          <w:rFonts w:hint="eastAsia" w:ascii="仿宋_GB2312" w:eastAsia="仿宋_GB2312"/>
          <w:sz w:val="32"/>
          <w:szCs w:val="32"/>
        </w:rPr>
        <w:t>　　1.“3+ 1 ”：“3”即城乡供水一体化、集中供水规模化、小型供水工程规范化； “1” 即县域统管和专业化管理。</w:t>
      </w:r>
    </w:p>
    <w:p w14:paraId="092FA547">
      <w:pPr>
        <w:rPr>
          <w:rFonts w:hint="eastAsia" w:ascii="仿宋_GB2312" w:eastAsia="仿宋_GB2312"/>
          <w:sz w:val="32"/>
          <w:szCs w:val="32"/>
        </w:rPr>
      </w:pPr>
      <w:r>
        <w:rPr>
          <w:rFonts w:hint="eastAsia" w:ascii="仿宋_GB2312" w:eastAsia="仿宋_GB2312"/>
          <w:sz w:val="32"/>
          <w:szCs w:val="32"/>
        </w:rPr>
        <w:t>　　2.“六同”：同源、同网、同质、同价、同服务、同监管</w:t>
      </w:r>
    </w:p>
    <w:p w14:paraId="03E4487F">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十一、解读机关和解读人</w:t>
      </w:r>
    </w:p>
    <w:p w14:paraId="67BDF059">
      <w:pPr>
        <w:rPr>
          <w:rFonts w:hint="eastAsia" w:ascii="仿宋_GB2312" w:eastAsia="仿宋_GB2312"/>
          <w:sz w:val="32"/>
          <w:szCs w:val="32"/>
        </w:rPr>
      </w:pPr>
      <w:r>
        <w:rPr>
          <w:rFonts w:hint="eastAsia" w:ascii="仿宋_GB2312" w:eastAsia="仿宋_GB2312"/>
          <w:sz w:val="32"/>
          <w:szCs w:val="32"/>
        </w:rPr>
        <w:t>　　解读机关：托里县水利局</w:t>
      </w:r>
    </w:p>
    <w:p w14:paraId="7CBA79B8">
      <w:pPr>
        <w:rPr>
          <w:rFonts w:hint="eastAsia" w:ascii="仿宋_GB2312" w:eastAsia="仿宋_GB2312"/>
          <w:sz w:val="32"/>
          <w:szCs w:val="32"/>
        </w:rPr>
      </w:pPr>
      <w:r>
        <w:rPr>
          <w:rFonts w:hint="eastAsia" w:ascii="仿宋_GB2312" w:eastAsia="仿宋_GB2312"/>
          <w:sz w:val="32"/>
          <w:szCs w:val="32"/>
        </w:rPr>
        <w:t>　　解读人：谌菊香</w:t>
      </w:r>
    </w:p>
    <w:p w14:paraId="18DC7D8F">
      <w:pPr>
        <w:rPr>
          <w:rFonts w:hint="eastAsia" w:ascii="仿宋_GB2312" w:eastAsia="仿宋_GB2312"/>
          <w:sz w:val="32"/>
          <w:szCs w:val="32"/>
        </w:rPr>
      </w:pPr>
      <w:r>
        <w:rPr>
          <w:rFonts w:hint="eastAsia" w:ascii="仿宋_GB2312" w:eastAsia="仿宋_GB2312"/>
          <w:sz w:val="32"/>
          <w:szCs w:val="32"/>
        </w:rPr>
        <w:t>　　解读电话：0901-3682225</w:t>
      </w:r>
    </w:p>
    <w:p w14:paraId="70071021">
      <w:pPr>
        <w:rPr>
          <w:rFonts w:hint="eastAsia" w:ascii="仿宋_GB2312" w:eastAsia="仿宋_GB2312"/>
          <w:sz w:val="32"/>
          <w:szCs w:val="32"/>
        </w:rPr>
      </w:pPr>
    </w:p>
    <w:p w14:paraId="34EF59FF">
      <w:pPr>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11"/>
    <w:rsid w:val="00151FFB"/>
    <w:rsid w:val="0029037F"/>
    <w:rsid w:val="003C6BDA"/>
    <w:rsid w:val="00446FEE"/>
    <w:rsid w:val="004C4782"/>
    <w:rsid w:val="00620F56"/>
    <w:rsid w:val="006439F0"/>
    <w:rsid w:val="00690BF8"/>
    <w:rsid w:val="006D0D8E"/>
    <w:rsid w:val="007E014D"/>
    <w:rsid w:val="008722CE"/>
    <w:rsid w:val="00881707"/>
    <w:rsid w:val="00926F7F"/>
    <w:rsid w:val="0095381D"/>
    <w:rsid w:val="009E428A"/>
    <w:rsid w:val="00A62111"/>
    <w:rsid w:val="00A769D7"/>
    <w:rsid w:val="00B14FC8"/>
    <w:rsid w:val="00B21565"/>
    <w:rsid w:val="00B912C1"/>
    <w:rsid w:val="00BF7F89"/>
    <w:rsid w:val="00C16BD6"/>
    <w:rsid w:val="00DB4EAB"/>
    <w:rsid w:val="00E24A78"/>
    <w:rsid w:val="00E47673"/>
    <w:rsid w:val="00F012A1"/>
    <w:rsid w:val="00F72BBD"/>
    <w:rsid w:val="0CA96482"/>
    <w:rsid w:val="1FB4076D"/>
    <w:rsid w:val="4E782E22"/>
    <w:rsid w:val="6A7D0C79"/>
    <w:rsid w:val="6F323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customStyle="1" w:styleId="20">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7"/>
    <w:link w:val="5"/>
    <w:semiHidden/>
    <w:qFormat/>
    <w:uiPriority w:val="9"/>
    <w:rPr>
      <w:rFonts w:cstheme="majorBidi"/>
      <w:color w:val="2F5597" w:themeColor="accent1" w:themeShade="BF"/>
      <w:sz w:val="28"/>
      <w:szCs w:val="28"/>
    </w:rPr>
  </w:style>
  <w:style w:type="character" w:customStyle="1" w:styleId="24">
    <w:name w:val="标题 5 字符"/>
    <w:basedOn w:val="17"/>
    <w:link w:val="6"/>
    <w:semiHidden/>
    <w:qFormat/>
    <w:uiPriority w:val="9"/>
    <w:rPr>
      <w:rFonts w:cstheme="majorBidi"/>
      <w:color w:val="2F5597" w:themeColor="accent1" w:themeShade="BF"/>
      <w:sz w:val="24"/>
      <w:szCs w:val="24"/>
    </w:rPr>
  </w:style>
  <w:style w:type="character" w:customStyle="1" w:styleId="25">
    <w:name w:val="标题 6 字符"/>
    <w:basedOn w:val="17"/>
    <w:link w:val="7"/>
    <w:semiHidden/>
    <w:qFormat/>
    <w:uiPriority w:val="9"/>
    <w:rPr>
      <w:rFonts w:cstheme="majorBidi"/>
      <w:b/>
      <w:bCs/>
      <w:color w:val="2F5597"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7"/>
    <w:link w:val="35"/>
    <w:qFormat/>
    <w:uiPriority w:val="30"/>
    <w:rPr>
      <w:i/>
      <w:iCs/>
      <w:color w:val="2F5597" w:themeColor="accent1" w:themeShade="BF"/>
    </w:rPr>
  </w:style>
  <w:style w:type="character" w:customStyle="1" w:styleId="37">
    <w:name w:val="Intense Reference"/>
    <w:basedOn w:val="17"/>
    <w:qFormat/>
    <w:uiPriority w:val="32"/>
    <w:rPr>
      <w:b/>
      <w:bCs/>
      <w:smallCaps/>
      <w:color w:val="2F5597" w:themeColor="accent1" w:themeShade="BF"/>
      <w:spacing w:val="5"/>
    </w:rPr>
  </w:style>
  <w:style w:type="character" w:customStyle="1" w:styleId="38">
    <w:name w:val="页眉 字符"/>
    <w:basedOn w:val="17"/>
    <w:link w:val="12"/>
    <w:qFormat/>
    <w:uiPriority w:val="99"/>
    <w:rPr>
      <w:sz w:val="18"/>
      <w:szCs w:val="18"/>
    </w:rPr>
  </w:style>
  <w:style w:type="character" w:customStyle="1" w:styleId="39">
    <w:name w:val="页脚 字符"/>
    <w:basedOn w:val="17"/>
    <w:link w:val="11"/>
    <w:qFormat/>
    <w:uiPriority w:val="99"/>
    <w:rPr>
      <w:sz w:val="18"/>
      <w:szCs w:val="18"/>
    </w:rPr>
  </w:style>
  <w:style w:type="character" w:customStyle="1" w:styleId="40">
    <w:name w:val="Unresolved Mention"/>
    <w:basedOn w:val="17"/>
    <w:semiHidden/>
    <w:unhideWhenUsed/>
    <w:qFormat/>
    <w:uiPriority w:val="99"/>
    <w:rPr>
      <w:color w:val="605E5C"/>
      <w:shd w:val="clear" w:color="auto" w:fill="E1DFDD"/>
    </w:rPr>
  </w:style>
  <w:style w:type="character" w:customStyle="1" w:styleId="41">
    <w:name w:val="1  正  文 Char Char"/>
    <w:basedOn w:val="17"/>
    <w:qFormat/>
    <w:uiPriority w:val="0"/>
    <w:rPr>
      <w:color w:val="000000"/>
      <w:kern w:val="2"/>
      <w:sz w:val="24"/>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28a1720d-0cbf-4c40-9005-d1f581522a7a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C97CB7A</paraID>
      <start>24</start>
      <end>26</end>
      <status>ignored</status>
      <modifiedWord/>
      <trackRevisions>false</trackRevisions>
    </reviewItem>
    <reviewItem>
      <errorID>eb6fb21c-d60f-43f4-8608-a3422add9b6d</errorID>
      <errorWord>制定</errorWord>
      <group>L1_Grammar</group>
      <groupName>语法问题</groupName>
      <ability>L2_Grammar</ability>
      <abilityName>语法错误</abilityName>
      <candidateList>
        <item>实施</item>
      </candidateList>
      <explain>“制定～改造”搭配不当，建议修改为“实施～改造”。</explain>
      <paraID>526696F9</paraID>
      <start>18</start>
      <end>20</end>
      <status>ignored</status>
      <modifiedWord/>
      <trackRevisions>false</trackRevisions>
    </reviewItem>
    <reviewItem>
      <errorID>ad3d3515-5ebd-4554-9b02-672160a0cc2d</errorID>
      <errorWord>、</errorWord>
      <group>L1_Word</group>
      <groupName>字词问题</groupName>
      <ability>L2_Typo</ability>
      <abilityName>字词错误</abilityName>
      <candidateList>
        <item>、县</item>
      </candidateList>
      <explain/>
      <paraID>58B5C6BF</paraID>
      <start>12</start>
      <end>13</end>
      <status>ignored</status>
      <modifiedWord/>
      <trackRevisions>false</trackRevisions>
    </reviewItem>
    <reviewItem>
      <errorID>2e09a415-f513-486b-a7cc-48d4270df510</errorID>
      <errorWord>详实</errorWord>
      <group>L1_Word</group>
      <groupName>字词问题</groupName>
      <ability>L2_Typo</ability>
      <abilityName>字词错误</abilityName>
      <candidateList>
        <item>翔实</item>
      </candidateList>
      <explain/>
      <paraID>1AE5E937</paraID>
      <start>119</start>
      <end>121</end>
      <status>ignored</status>
      <modifiedWord/>
      <trackRevisions>false</trackRevisions>
    </reviewItem>
    <reviewItem>
      <errorID>5b449b9a-fe5d-4d25-99e1-c5a9229883c1</errorID>
      <errorWord>设</errorWord>
      <group>L1_Word</group>
      <groupName>字词问题</groupName>
      <ability>L2_Typo</ability>
      <abilityName>字词错误</abilityName>
      <candidateList>
        <item>设立</item>
      </candidateList>
      <explain/>
      <paraID>33A4CB91</paraID>
      <start>30</start>
      <end>32</end>
      <status>modified</status>
      <modifiedWord>设立</modifiedWord>
      <trackRevisions>false</trackRevisions>
    </reviewItem>
  </reviewItems>
  <config/>
</contractReview>
</file>

<file path=customXml/itemProps1.xml><?xml version="1.0" encoding="utf-8"?>
<ds:datastoreItem xmlns:ds="http://schemas.openxmlformats.org/officeDocument/2006/customXml" ds:itemID="{553e86a6-ccfc-4550-bfd9-4508305f4f93}">
  <ds:schemaRefs/>
</ds:datastoreItem>
</file>

<file path=docProps/app.xml><?xml version="1.0" encoding="utf-8"?>
<Properties xmlns="http://schemas.openxmlformats.org/officeDocument/2006/extended-properties" xmlns:vt="http://schemas.openxmlformats.org/officeDocument/2006/docPropsVTypes">
  <Template>Normal</Template>
  <Pages>15</Pages>
  <Words>6492</Words>
  <Characters>6654</Characters>
  <Lines>177</Lines>
  <Paragraphs>133</Paragraphs>
  <TotalTime>39</TotalTime>
  <ScaleCrop>false</ScaleCrop>
  <LinksUpToDate>false</LinksUpToDate>
  <CharactersWithSpaces>6770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2026-03-20T10:19:00Z</dcterms:created>
  <dc:creator>huawei</dc:creator>
  <cp:lastModifiedBy>幼儿园高材生</cp:lastModifiedBy>
  <dcterms:modified xsi:type="dcterms:W3CDTF">2026-07-03T09:51:31Z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eyJoZGlkIjoiNmM4OGVmNjZmZGYzMmJkZTkwOTA3MTU4ZDRlZjUzNGYiLCJ1c2VySWQiOiIxNjgwODA3MTEwIn0=</vt:lpwstr>
  </property>
  <property fmtid="{D5CDD505-2E9C-101B-9397-08002B2CF9AE}" pid="3" name="KSOProductBuildVer">
    <vt:lpwstr>2052-12.1.0.26375</vt:lpwstr>
  </property>
  <property fmtid="{D5CDD505-2E9C-101B-9397-08002B2CF9AE}" pid="4" name="ICV">
    <vt:lpwstr>2D0B98BDCB2E4F79A09FEC0FEBCF4107_13</vt:lpwstr>
  </property>
</Properties>
</file>